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97FA6" w14:textId="763BE863" w:rsidR="53732A56" w:rsidRDefault="007A5759" w:rsidP="450B39E2">
      <w:pPr>
        <w:ind w:left="360"/>
        <w:rPr>
          <w:b/>
          <w:bCs/>
          <w:sz w:val="28"/>
          <w:szCs w:val="28"/>
          <w:lang w:val="fr-FR"/>
        </w:rPr>
      </w:pPr>
      <w:r w:rsidRPr="001E1711">
        <w:rPr>
          <w:b/>
          <w:noProof/>
        </w:rPr>
        <w:drawing>
          <wp:anchor distT="0" distB="0" distL="114300" distR="114300" simplePos="0" relativeHeight="251659264" behindDoc="1" locked="0" layoutInCell="1" allowOverlap="1" wp14:anchorId="03C9C610" wp14:editId="03412BD9">
            <wp:simplePos x="0" y="0"/>
            <wp:positionH relativeFrom="margin">
              <wp:align>left</wp:align>
            </wp:positionH>
            <wp:positionV relativeFrom="paragraph">
              <wp:posOffset>0</wp:posOffset>
            </wp:positionV>
            <wp:extent cx="1447800" cy="849630"/>
            <wp:effectExtent l="0" t="0" r="0" b="7620"/>
            <wp:wrapSquare wrapText="bothSides"/>
            <wp:docPr id="9" name="Image 9"/>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800" cy="849630"/>
                    </a:xfrm>
                    <a:prstGeom prst="rect">
                      <a:avLst/>
                    </a:prstGeom>
                  </pic:spPr>
                </pic:pic>
              </a:graphicData>
            </a:graphic>
            <wp14:sizeRelH relativeFrom="margin">
              <wp14:pctWidth>0</wp14:pctWidth>
            </wp14:sizeRelH>
            <wp14:sizeRelV relativeFrom="margin">
              <wp14:pctHeight>0</wp14:pctHeight>
            </wp14:sizeRelV>
          </wp:anchor>
        </w:drawing>
      </w:r>
      <w:r w:rsidR="53732A56" w:rsidRPr="450B39E2">
        <w:rPr>
          <w:b/>
          <w:bCs/>
          <w:sz w:val="28"/>
          <w:szCs w:val="28"/>
          <w:lang w:val="fr-FR"/>
        </w:rPr>
        <w:t>GEOGRAPHIE</w:t>
      </w:r>
    </w:p>
    <w:p w14:paraId="290F3613" w14:textId="50578C5D" w:rsidR="007A5759" w:rsidRDefault="007A5759" w:rsidP="450B39E2">
      <w:pPr>
        <w:ind w:left="360"/>
        <w:rPr>
          <w:b/>
          <w:bCs/>
          <w:sz w:val="28"/>
          <w:szCs w:val="28"/>
          <w:lang w:val="fr-FR"/>
        </w:rPr>
      </w:pPr>
    </w:p>
    <w:p w14:paraId="49B0BEF3" w14:textId="77777777" w:rsidR="007A5759" w:rsidRDefault="007A5759" w:rsidP="450B39E2">
      <w:pPr>
        <w:ind w:left="360"/>
        <w:rPr>
          <w:b/>
          <w:bCs/>
          <w:sz w:val="28"/>
          <w:szCs w:val="28"/>
          <w:lang w:val="fr-FR"/>
        </w:rPr>
      </w:pPr>
    </w:p>
    <w:p w14:paraId="042802EB" w14:textId="77777777" w:rsidR="00C62FCE" w:rsidRDefault="00C62FCE" w:rsidP="00C62FCE">
      <w:pPr>
        <w:ind w:left="360"/>
        <w:rPr>
          <w:b/>
          <w:bCs/>
          <w:sz w:val="28"/>
          <w:szCs w:val="28"/>
          <w:lang w:val="fr-FR"/>
        </w:rPr>
      </w:pPr>
      <w:bookmarkStart w:id="0" w:name="_Hlk37952855"/>
      <w:r>
        <w:rPr>
          <w:b/>
          <w:bCs/>
          <w:sz w:val="28"/>
          <w:szCs w:val="28"/>
          <w:lang w:val="fr-FR"/>
        </w:rPr>
        <w:t>Dans ce document vous trouverez les éléments suivants :</w:t>
      </w:r>
    </w:p>
    <w:p w14:paraId="6B17038A" w14:textId="77777777" w:rsidR="00C62FCE" w:rsidRPr="00F45B96" w:rsidRDefault="00C62FCE" w:rsidP="00C62FCE">
      <w:pPr>
        <w:pStyle w:val="Paragraphedeliste"/>
        <w:numPr>
          <w:ilvl w:val="0"/>
          <w:numId w:val="7"/>
        </w:numPr>
        <w:rPr>
          <w:lang w:val="fr-FR"/>
        </w:rPr>
      </w:pPr>
      <w:r w:rsidRPr="00F45B96">
        <w:rPr>
          <w:lang w:val="fr-FR"/>
        </w:rPr>
        <w:t>Précisions en ce qui concerne les apprentissages à mettre en place avant la fin de l’année</w:t>
      </w:r>
    </w:p>
    <w:p w14:paraId="6A9CB923" w14:textId="77777777" w:rsidR="00C62FCE" w:rsidRPr="00F45B96" w:rsidRDefault="00C62FCE" w:rsidP="00C62FCE">
      <w:pPr>
        <w:pStyle w:val="Paragraphedeliste"/>
        <w:numPr>
          <w:ilvl w:val="0"/>
          <w:numId w:val="7"/>
        </w:numPr>
        <w:rPr>
          <w:lang w:val="fr-FR"/>
        </w:rPr>
      </w:pPr>
      <w:r w:rsidRPr="00F45B96">
        <w:rPr>
          <w:lang w:val="fr-FR"/>
        </w:rPr>
        <w:t>Contacts utiles</w:t>
      </w:r>
    </w:p>
    <w:p w14:paraId="42C184B9" w14:textId="77777777" w:rsidR="00C62FCE" w:rsidRPr="00021124" w:rsidRDefault="00C62FCE" w:rsidP="00C62FCE">
      <w:pPr>
        <w:pStyle w:val="Paragraphedeliste"/>
        <w:numPr>
          <w:ilvl w:val="0"/>
          <w:numId w:val="7"/>
        </w:numPr>
        <w:rPr>
          <w:lang w:val="fr-FR"/>
        </w:rPr>
      </w:pPr>
      <w:r w:rsidRPr="00021124">
        <w:rPr>
          <w:lang w:val="fr-FR"/>
        </w:rPr>
        <w:t>Tableau : les essentiels des apprentissages d’ici juin 2020</w:t>
      </w:r>
    </w:p>
    <w:p w14:paraId="4699DD33" w14:textId="77777777" w:rsidR="00C62FCE" w:rsidRPr="00F45B96" w:rsidRDefault="00C62FCE" w:rsidP="00C62FCE">
      <w:pPr>
        <w:pStyle w:val="Paragraphedeliste"/>
        <w:numPr>
          <w:ilvl w:val="0"/>
          <w:numId w:val="7"/>
        </w:numPr>
        <w:rPr>
          <w:lang w:val="fr-FR"/>
        </w:rPr>
      </w:pPr>
      <w:r w:rsidRPr="00F45B96">
        <w:rPr>
          <w:lang w:val="fr-FR"/>
        </w:rPr>
        <w:t>Notes et conseils pour utiliser efficacement les situations d’apprentissage dans le cadre de cours à distance</w:t>
      </w:r>
    </w:p>
    <w:p w14:paraId="672A6659" w14:textId="77777777" w:rsidR="00C62FCE" w:rsidRDefault="00C62FCE" w:rsidP="00C62FCE">
      <w:pPr>
        <w:ind w:left="360"/>
        <w:rPr>
          <w:b/>
          <w:bCs/>
          <w:sz w:val="28"/>
          <w:szCs w:val="28"/>
          <w:lang w:val="fr-FR"/>
        </w:rPr>
      </w:pPr>
    </w:p>
    <w:p w14:paraId="61DC9F23" w14:textId="77777777" w:rsidR="00C62FCE" w:rsidRPr="00021124" w:rsidRDefault="00C62FCE" w:rsidP="00C62FCE">
      <w:pPr>
        <w:pStyle w:val="Paragraphedeliste"/>
        <w:numPr>
          <w:ilvl w:val="0"/>
          <w:numId w:val="4"/>
        </w:numPr>
        <w:rPr>
          <w:b/>
          <w:bCs/>
          <w:sz w:val="28"/>
          <w:szCs w:val="28"/>
          <w:lang w:val="fr-FR"/>
        </w:rPr>
      </w:pPr>
      <w:r w:rsidRPr="00021124">
        <w:rPr>
          <w:b/>
          <w:bCs/>
          <w:sz w:val="28"/>
          <w:szCs w:val="28"/>
          <w:lang w:val="fr-FR"/>
        </w:rPr>
        <w:t>Précisions en ce qui concerne les apprentissages à mettre en place avant la fin de l’année</w:t>
      </w:r>
    </w:p>
    <w:p w14:paraId="0402C311" w14:textId="77777777" w:rsidR="00C62FCE" w:rsidRDefault="00C62FCE" w:rsidP="00C62FCE">
      <w:pPr>
        <w:rPr>
          <w:lang w:val="fr-FR"/>
        </w:rPr>
      </w:pPr>
      <w:r w:rsidRPr="2DB06B5A">
        <w:rPr>
          <w:lang w:val="fr-FR"/>
        </w:rPr>
        <w:t xml:space="preserve">Les essentiels des apprentissages résumés </w:t>
      </w:r>
      <w:r>
        <w:rPr>
          <w:lang w:val="fr-FR"/>
        </w:rPr>
        <w:t>sur la page suivante</w:t>
      </w:r>
      <w:r w:rsidRPr="2DB06B5A">
        <w:rPr>
          <w:lang w:val="fr-FR"/>
        </w:rPr>
        <w:t xml:space="preserve"> résultent d’un choix éclairé par des personnes de la </w:t>
      </w:r>
      <w:proofErr w:type="spellStart"/>
      <w:r w:rsidRPr="2DB06B5A">
        <w:rPr>
          <w:lang w:val="fr-FR"/>
        </w:rPr>
        <w:t>FESeC</w:t>
      </w:r>
      <w:proofErr w:type="spellEnd"/>
      <w:r w:rsidRPr="2DB06B5A">
        <w:rPr>
          <w:lang w:val="fr-FR"/>
        </w:rPr>
        <w:t xml:space="preserve"> qui ont l’expertise des programmes de la discipline, qui ont une vue globale du parcours d’apprentissage dans le secondaire et dans les différentes filières et qui contribuent depuis plusieurs années aux évaluations externes. Ces éléments sont donc ceux sur lesquels il faudra se focaliser d’ici la fin de l’année.</w:t>
      </w:r>
    </w:p>
    <w:p w14:paraId="1340054D" w14:textId="77777777" w:rsidR="00C62FCE" w:rsidRPr="00F867E7" w:rsidRDefault="00C62FCE" w:rsidP="00C62FCE">
      <w:pPr>
        <w:rPr>
          <w:b/>
          <w:bCs/>
          <w:lang w:val="fr-FR"/>
        </w:rPr>
      </w:pPr>
      <w:r w:rsidRPr="00F867E7">
        <w:rPr>
          <w:b/>
          <w:bCs/>
          <w:lang w:val="fr-FR"/>
        </w:rPr>
        <w:t>Comment mettre en évidence les priorités des apprentissages d’ici la fin de l’année ?</w:t>
      </w:r>
    </w:p>
    <w:p w14:paraId="5556E370" w14:textId="77777777" w:rsidR="00C62FCE" w:rsidRPr="00F867E7" w:rsidRDefault="00C62FCE" w:rsidP="00C62FCE">
      <w:pPr>
        <w:pStyle w:val="Paragraphedeliste"/>
        <w:numPr>
          <w:ilvl w:val="0"/>
          <w:numId w:val="5"/>
        </w:numPr>
        <w:rPr>
          <w:lang w:val="fr-FR"/>
        </w:rPr>
      </w:pPr>
      <w:r w:rsidRPr="00F867E7">
        <w:rPr>
          <w:lang w:val="fr-FR"/>
        </w:rPr>
        <w:t>Parcourez les essentiels ci-dessous et repérez ceux pour lesquels vous avez déjà pu réaliser des apprentissages avant le confinement et pour lesquels vous disposez d’informations par des évaluations.</w:t>
      </w:r>
    </w:p>
    <w:p w14:paraId="18A2153B" w14:textId="77777777" w:rsidR="00C62FCE" w:rsidRDefault="00C62FCE" w:rsidP="00C62FCE">
      <w:pPr>
        <w:pStyle w:val="Paragraphedeliste"/>
        <w:numPr>
          <w:ilvl w:val="0"/>
          <w:numId w:val="5"/>
        </w:numPr>
        <w:rPr>
          <w:lang w:val="fr-FR"/>
        </w:rPr>
      </w:pPr>
      <w:r w:rsidRPr="00F867E7">
        <w:rPr>
          <w:lang w:val="fr-FR"/>
        </w:rPr>
        <w:t>Cochez ces éléments.</w:t>
      </w:r>
    </w:p>
    <w:p w14:paraId="7474C6F9" w14:textId="77777777" w:rsidR="00C62FCE" w:rsidRDefault="00C62FCE" w:rsidP="00C62FCE">
      <w:pPr>
        <w:pStyle w:val="Paragraphedeliste"/>
        <w:numPr>
          <w:ilvl w:val="0"/>
          <w:numId w:val="5"/>
        </w:numPr>
        <w:rPr>
          <w:lang w:val="fr-FR"/>
        </w:rPr>
      </w:pPr>
      <w:r>
        <w:rPr>
          <w:lang w:val="fr-FR"/>
        </w:rPr>
        <w:t>Vous avez maintenant une vue des éléments qui n’ont pas encore été appris ou pour lesquels vous ne disposez pas d’information à propos du niveau de maitrise.</w:t>
      </w:r>
    </w:p>
    <w:p w14:paraId="0A37501D" w14:textId="77777777" w:rsidR="00C62FCE" w:rsidRDefault="00C62FCE" w:rsidP="00C62FCE"/>
    <w:p w14:paraId="1EED08FE" w14:textId="77777777" w:rsidR="00C62FCE" w:rsidRPr="00F45B96" w:rsidRDefault="00C62FCE" w:rsidP="00C62FCE">
      <w:pPr>
        <w:pStyle w:val="Paragraphedeliste"/>
        <w:numPr>
          <w:ilvl w:val="0"/>
          <w:numId w:val="4"/>
        </w:numPr>
        <w:rPr>
          <w:b/>
          <w:bCs/>
          <w:sz w:val="28"/>
          <w:szCs w:val="28"/>
          <w:lang w:val="fr-FR"/>
        </w:rPr>
      </w:pPr>
      <w:r w:rsidRPr="00F45B96">
        <w:rPr>
          <w:b/>
          <w:bCs/>
          <w:sz w:val="28"/>
          <w:szCs w:val="28"/>
          <w:lang w:val="fr-FR"/>
        </w:rPr>
        <w:t>Contacts utiles</w:t>
      </w:r>
    </w:p>
    <w:p w14:paraId="22D2A4B1" w14:textId="77777777" w:rsidR="00C62FCE" w:rsidRDefault="00C62FCE" w:rsidP="00C62FCE">
      <w:pPr>
        <w:rPr>
          <w:lang w:val="fr-FR"/>
        </w:rPr>
      </w:pPr>
      <w:r w:rsidRPr="2DB06B5A">
        <w:rPr>
          <w:lang w:val="fr-FR"/>
        </w:rPr>
        <w:t>En cas de problème, n’hésitez pas à prendre contact</w:t>
      </w:r>
    </w:p>
    <w:p w14:paraId="27C26506" w14:textId="77777777" w:rsidR="00C62FCE" w:rsidRDefault="00C62FCE" w:rsidP="00C62FCE">
      <w:pPr>
        <w:rPr>
          <w:lang w:val="fr-FR"/>
        </w:rPr>
      </w:pPr>
      <w:r w:rsidRPr="2DB06B5A">
        <w:rPr>
          <w:lang w:val="fr-FR"/>
        </w:rPr>
        <w:t>Prioritairement :</w:t>
      </w:r>
    </w:p>
    <w:p w14:paraId="38E17212" w14:textId="77777777" w:rsidR="00C62FCE" w:rsidRDefault="00C62FCE" w:rsidP="00C62FCE">
      <w:pPr>
        <w:pStyle w:val="Paragraphedeliste"/>
        <w:numPr>
          <w:ilvl w:val="0"/>
          <w:numId w:val="6"/>
        </w:numPr>
        <w:rPr>
          <w:rFonts w:eastAsiaTheme="minorEastAsia"/>
          <w:lang w:val="fr-FR"/>
        </w:rPr>
      </w:pPr>
      <w:r w:rsidRPr="2DB06B5A">
        <w:rPr>
          <w:lang w:val="fr-FR"/>
        </w:rPr>
        <w:t xml:space="preserve">Pour l’EDM : </w:t>
      </w:r>
      <w:hyperlink r:id="rId11">
        <w:r w:rsidRPr="2DB06B5A">
          <w:rPr>
            <w:rStyle w:val="Lienhypertexte"/>
            <w:lang w:val="fr-FR"/>
          </w:rPr>
          <w:t>marianne.quitin@segec.be</w:t>
        </w:r>
      </w:hyperlink>
    </w:p>
    <w:p w14:paraId="10FA7DF5" w14:textId="77777777" w:rsidR="00C62FCE" w:rsidRDefault="00C62FCE" w:rsidP="00C62FCE">
      <w:pPr>
        <w:pStyle w:val="Paragraphedeliste"/>
        <w:numPr>
          <w:ilvl w:val="0"/>
          <w:numId w:val="6"/>
        </w:numPr>
        <w:rPr>
          <w:rFonts w:eastAsiaTheme="minorEastAsia"/>
          <w:lang w:val="fr-FR"/>
        </w:rPr>
      </w:pPr>
      <w:r w:rsidRPr="2DB06B5A">
        <w:rPr>
          <w:lang w:val="fr-FR"/>
        </w:rPr>
        <w:t xml:space="preserve">Pour la formation historique et géographique (qualifiant): </w:t>
      </w:r>
      <w:r>
        <w:rPr>
          <w:lang w:val="fr-FR"/>
        </w:rPr>
        <w:br/>
      </w:r>
      <w:hyperlink r:id="rId12" w:history="1">
        <w:r w:rsidRPr="006C7ADC">
          <w:rPr>
            <w:rStyle w:val="Lienhypertexte"/>
            <w:lang w:val="fr-FR"/>
          </w:rPr>
          <w:t>axelle.delval@segec.be</w:t>
        </w:r>
      </w:hyperlink>
      <w:r w:rsidRPr="2DB06B5A">
        <w:rPr>
          <w:lang w:val="fr-FR"/>
        </w:rPr>
        <w:t xml:space="preserve"> ou </w:t>
      </w:r>
      <w:hyperlink r:id="rId13">
        <w:r w:rsidRPr="2DB06B5A">
          <w:rPr>
            <w:rStyle w:val="Lienhypertexte"/>
            <w:lang w:val="fr-FR"/>
          </w:rPr>
          <w:t>celine.demoustier@segec.be</w:t>
        </w:r>
      </w:hyperlink>
      <w:r w:rsidRPr="2DB06B5A">
        <w:rPr>
          <w:lang w:val="fr-FR"/>
        </w:rPr>
        <w:t xml:space="preserve"> </w:t>
      </w:r>
    </w:p>
    <w:p w14:paraId="34EF1BD1" w14:textId="77777777" w:rsidR="00C62FCE" w:rsidRDefault="00C62FCE" w:rsidP="00C62FCE">
      <w:pPr>
        <w:pStyle w:val="Paragraphedeliste"/>
        <w:numPr>
          <w:ilvl w:val="0"/>
          <w:numId w:val="6"/>
        </w:numPr>
        <w:rPr>
          <w:rFonts w:eastAsiaTheme="minorEastAsia"/>
          <w:lang w:val="fr-FR"/>
        </w:rPr>
      </w:pPr>
      <w:r w:rsidRPr="2DB06B5A">
        <w:rPr>
          <w:lang w:val="fr-FR"/>
        </w:rPr>
        <w:t xml:space="preserve">Pour l’histoire : </w:t>
      </w:r>
      <w:hyperlink r:id="rId14">
        <w:r w:rsidRPr="2DB06B5A">
          <w:rPr>
            <w:rStyle w:val="Lienhypertexte"/>
            <w:lang w:val="fr-FR"/>
          </w:rPr>
          <w:t>pascale.lambrechts@segec.be</w:t>
        </w:r>
      </w:hyperlink>
      <w:r w:rsidRPr="2DB06B5A">
        <w:rPr>
          <w:lang w:val="fr-FR"/>
        </w:rPr>
        <w:t xml:space="preserve"> ou </w:t>
      </w:r>
      <w:hyperlink r:id="rId15">
        <w:r w:rsidRPr="2DB06B5A">
          <w:rPr>
            <w:rStyle w:val="Lienhypertexte"/>
            <w:lang w:val="fr-FR"/>
          </w:rPr>
          <w:t>celine.demoustier@segec.be</w:t>
        </w:r>
      </w:hyperlink>
    </w:p>
    <w:p w14:paraId="6B876C20" w14:textId="77777777" w:rsidR="00C62FCE" w:rsidRDefault="00C62FCE" w:rsidP="00C62FCE">
      <w:pPr>
        <w:pStyle w:val="Paragraphedeliste"/>
        <w:numPr>
          <w:ilvl w:val="0"/>
          <w:numId w:val="6"/>
        </w:numPr>
        <w:rPr>
          <w:rFonts w:eastAsiaTheme="minorEastAsia"/>
          <w:lang w:val="fr-FR"/>
        </w:rPr>
      </w:pPr>
      <w:r w:rsidRPr="2DB06B5A">
        <w:rPr>
          <w:lang w:val="fr-FR"/>
        </w:rPr>
        <w:t xml:space="preserve">Pour la formation géographique : </w:t>
      </w:r>
      <w:hyperlink r:id="rId16">
        <w:r w:rsidRPr="2DB06B5A">
          <w:rPr>
            <w:rStyle w:val="Lienhypertexte"/>
            <w:lang w:val="fr-FR"/>
          </w:rPr>
          <w:t>marc.deprez@segec.be</w:t>
        </w:r>
      </w:hyperlink>
    </w:p>
    <w:bookmarkEnd w:id="0"/>
    <w:p w14:paraId="5DAB6C7B" w14:textId="77777777" w:rsidR="003B46B6" w:rsidRDefault="003B46B6" w:rsidP="00C62FCE">
      <w:r>
        <w:br w:type="page"/>
      </w:r>
    </w:p>
    <w:p w14:paraId="517A0134" w14:textId="77777777" w:rsidR="00C62FCE" w:rsidRDefault="00C62FCE" w:rsidP="00C62FCE">
      <w:pPr>
        <w:pStyle w:val="Paragraphedeliste"/>
        <w:numPr>
          <w:ilvl w:val="0"/>
          <w:numId w:val="4"/>
        </w:numPr>
        <w:rPr>
          <w:b/>
          <w:bCs/>
          <w:sz w:val="28"/>
          <w:szCs w:val="28"/>
          <w:lang w:val="fr-FR"/>
        </w:rPr>
      </w:pPr>
      <w:bookmarkStart w:id="1" w:name="_Hlk37952874"/>
      <w:bookmarkStart w:id="2" w:name="_Hlk37953061"/>
      <w:r w:rsidRPr="00F45B96">
        <w:rPr>
          <w:b/>
          <w:bCs/>
          <w:sz w:val="28"/>
          <w:szCs w:val="28"/>
          <w:lang w:val="fr-FR"/>
        </w:rPr>
        <w:lastRenderedPageBreak/>
        <w:t>Tableau</w:t>
      </w:r>
      <w:r>
        <w:rPr>
          <w:b/>
          <w:bCs/>
          <w:sz w:val="28"/>
          <w:szCs w:val="28"/>
          <w:lang w:val="fr-FR"/>
        </w:rPr>
        <w:t> : l</w:t>
      </w:r>
      <w:r w:rsidRPr="00F45B96">
        <w:rPr>
          <w:b/>
          <w:bCs/>
          <w:sz w:val="28"/>
          <w:szCs w:val="28"/>
          <w:lang w:val="fr-FR"/>
        </w:rPr>
        <w:t xml:space="preserve">es essentiels des apprentissages </w:t>
      </w:r>
      <w:r>
        <w:rPr>
          <w:b/>
          <w:bCs/>
          <w:sz w:val="28"/>
          <w:szCs w:val="28"/>
          <w:lang w:val="fr-FR"/>
        </w:rPr>
        <w:t>d’ici juin 2020</w:t>
      </w:r>
      <w:bookmarkEnd w:id="1"/>
    </w:p>
    <w:bookmarkEnd w:id="2"/>
    <w:p w14:paraId="28813A63" w14:textId="77777777" w:rsidR="003B46B6" w:rsidRPr="00C62FCE" w:rsidRDefault="003B46B6" w:rsidP="00C62FCE">
      <w:pPr>
        <w:rPr>
          <w:sz w:val="20"/>
          <w:szCs w:val="20"/>
          <w:lang w:val="fr-FR"/>
        </w:rPr>
      </w:pPr>
      <w:r w:rsidRPr="00C62FCE">
        <w:rPr>
          <w:sz w:val="20"/>
          <w:szCs w:val="20"/>
          <w:lang w:val="fr-FR"/>
        </w:rPr>
        <w:t>Cochez ce qui a déjà été appris et validé, ce qui reste constitue les priorités d’ici la fin de l’année.</w:t>
      </w:r>
    </w:p>
    <w:p w14:paraId="02EB378F" w14:textId="77777777" w:rsidR="003B46B6" w:rsidRPr="001A1ED7" w:rsidRDefault="003B46B6" w:rsidP="003B46B6">
      <w:pPr>
        <w:pStyle w:val="Paragraphedeliste"/>
        <w:ind w:left="360"/>
        <w:rPr>
          <w:sz w:val="20"/>
          <w:szCs w:val="20"/>
          <w:lang w:val="fr-FR"/>
        </w:rPr>
      </w:pPr>
    </w:p>
    <w:tbl>
      <w:tblPr>
        <w:tblStyle w:val="Grilledutableau"/>
        <w:tblW w:w="10490" w:type="dxa"/>
        <w:tblInd w:w="-572" w:type="dxa"/>
        <w:tblLayout w:type="fixed"/>
        <w:tblLook w:val="04A0" w:firstRow="1" w:lastRow="0" w:firstColumn="1" w:lastColumn="0" w:noHBand="0" w:noVBand="1"/>
      </w:tblPr>
      <w:tblGrid>
        <w:gridCol w:w="1701"/>
        <w:gridCol w:w="2835"/>
        <w:gridCol w:w="5954"/>
      </w:tblGrid>
      <w:tr w:rsidR="003B46B6" w14:paraId="23B80B65" w14:textId="77777777" w:rsidTr="003B46B6">
        <w:tc>
          <w:tcPr>
            <w:tcW w:w="1701" w:type="dxa"/>
            <w:shd w:val="clear" w:color="auto" w:fill="D9D9D9" w:themeFill="background1" w:themeFillShade="D9"/>
          </w:tcPr>
          <w:p w14:paraId="32A9124E" w14:textId="77777777" w:rsidR="003B46B6" w:rsidRPr="00A22C90" w:rsidRDefault="003B46B6" w:rsidP="00D33F43">
            <w:pPr>
              <w:rPr>
                <w:sz w:val="20"/>
                <w:szCs w:val="20"/>
                <w:lang w:val="fr-FR"/>
              </w:rPr>
            </w:pPr>
            <w:r>
              <w:rPr>
                <w:sz w:val="20"/>
                <w:szCs w:val="20"/>
                <w:lang w:val="fr-FR"/>
              </w:rPr>
              <w:t>Les essentiels</w:t>
            </w:r>
          </w:p>
        </w:tc>
        <w:tc>
          <w:tcPr>
            <w:tcW w:w="2835" w:type="dxa"/>
            <w:shd w:val="clear" w:color="auto" w:fill="D9D9D9" w:themeFill="background1" w:themeFillShade="D9"/>
          </w:tcPr>
          <w:p w14:paraId="2BD0655E" w14:textId="77777777" w:rsidR="003B46B6" w:rsidRPr="006105C8" w:rsidRDefault="003B46B6" w:rsidP="00D33F43">
            <w:pPr>
              <w:jc w:val="center"/>
              <w:rPr>
                <w:b/>
                <w:bCs/>
                <w:sz w:val="20"/>
                <w:szCs w:val="20"/>
                <w:lang w:val="fr-FR"/>
              </w:rPr>
            </w:pPr>
            <w:r w:rsidRPr="006105C8">
              <w:rPr>
                <w:b/>
                <w:bCs/>
                <w:sz w:val="20"/>
                <w:szCs w:val="20"/>
                <w:lang w:val="fr-FR"/>
              </w:rPr>
              <w:t>Compétences et savoir-faire</w:t>
            </w:r>
          </w:p>
        </w:tc>
        <w:tc>
          <w:tcPr>
            <w:tcW w:w="5954" w:type="dxa"/>
            <w:shd w:val="clear" w:color="auto" w:fill="D9D9D9" w:themeFill="background1" w:themeFillShade="D9"/>
          </w:tcPr>
          <w:p w14:paraId="49916AD2" w14:textId="77777777" w:rsidR="003B46B6" w:rsidRPr="006105C8" w:rsidRDefault="003B46B6" w:rsidP="00D33F43">
            <w:pPr>
              <w:jc w:val="center"/>
              <w:rPr>
                <w:b/>
                <w:bCs/>
                <w:sz w:val="20"/>
                <w:szCs w:val="20"/>
                <w:lang w:val="fr-FR"/>
              </w:rPr>
            </w:pPr>
            <w:r w:rsidRPr="006105C8">
              <w:rPr>
                <w:b/>
                <w:bCs/>
                <w:sz w:val="20"/>
                <w:szCs w:val="20"/>
                <w:lang w:val="fr-FR"/>
              </w:rPr>
              <w:t>Types de productions attendues</w:t>
            </w:r>
          </w:p>
        </w:tc>
      </w:tr>
      <w:tr w:rsidR="003B46B6" w14:paraId="68BB1F64" w14:textId="77777777" w:rsidTr="003B46B6">
        <w:tc>
          <w:tcPr>
            <w:tcW w:w="1701" w:type="dxa"/>
          </w:tcPr>
          <w:p w14:paraId="4F6C663E" w14:textId="77777777" w:rsidR="003B46B6" w:rsidRDefault="003B46B6" w:rsidP="00D33F43">
            <w:pPr>
              <w:rPr>
                <w:sz w:val="20"/>
                <w:szCs w:val="20"/>
                <w:lang w:val="fr-FR"/>
              </w:rPr>
            </w:pPr>
            <w:r w:rsidRPr="006105C8">
              <w:rPr>
                <w:b/>
                <w:bCs/>
                <w:sz w:val="20"/>
                <w:szCs w:val="20"/>
                <w:lang w:val="fr-FR"/>
              </w:rPr>
              <w:t>Ce que l’élève peut faire comme analyse spatiale sur des cas nouveaux</w:t>
            </w:r>
            <w:r>
              <w:rPr>
                <w:sz w:val="20"/>
                <w:szCs w:val="20"/>
                <w:lang w:val="fr-FR"/>
              </w:rPr>
              <w:t xml:space="preserve"> </w:t>
            </w:r>
          </w:p>
          <w:p w14:paraId="6A05A809" w14:textId="77777777" w:rsidR="003B46B6" w:rsidRDefault="003B46B6" w:rsidP="00D33F43">
            <w:pPr>
              <w:rPr>
                <w:sz w:val="20"/>
                <w:szCs w:val="20"/>
                <w:lang w:val="fr-FR"/>
              </w:rPr>
            </w:pPr>
          </w:p>
          <w:p w14:paraId="09148889" w14:textId="77777777" w:rsidR="003B46B6" w:rsidRPr="00A22C90" w:rsidRDefault="003B46B6" w:rsidP="00D33F43">
            <w:pPr>
              <w:rPr>
                <w:sz w:val="20"/>
                <w:szCs w:val="20"/>
                <w:lang w:val="fr-FR"/>
              </w:rPr>
            </w:pPr>
            <w:r>
              <w:rPr>
                <w:sz w:val="20"/>
                <w:szCs w:val="20"/>
                <w:lang w:val="fr-FR"/>
              </w:rPr>
              <w:t>Sur la base de représentations de l’espace …</w:t>
            </w:r>
          </w:p>
        </w:tc>
        <w:tc>
          <w:tcPr>
            <w:tcW w:w="2835" w:type="dxa"/>
          </w:tcPr>
          <w:p w14:paraId="54FD653C" w14:textId="77777777" w:rsidR="003B46B6" w:rsidRPr="001A1ED7" w:rsidRDefault="003B46B6" w:rsidP="00D33F43">
            <w:pPr>
              <w:rPr>
                <w:sz w:val="20"/>
                <w:szCs w:val="20"/>
                <w:lang w:val="fr-FR"/>
              </w:rPr>
            </w:pPr>
            <w:r>
              <w:rPr>
                <w:rFonts w:ascii="Wingdings" w:eastAsia="Wingdings" w:hAnsi="Wingdings" w:cs="Wingdings"/>
                <w:lang w:val="fr-FR"/>
              </w:rPr>
              <w:t></w:t>
            </w:r>
            <w:r w:rsidRPr="001A1ED7">
              <w:rPr>
                <w:sz w:val="20"/>
                <w:szCs w:val="20"/>
                <w:lang w:val="fr-FR"/>
              </w:rPr>
              <w:t xml:space="preserve"> …décrire la répartition spatiale d’un aléa</w:t>
            </w:r>
          </w:p>
          <w:p w14:paraId="1764FFCB" w14:textId="77777777" w:rsidR="003B46B6" w:rsidRPr="001A1ED7" w:rsidRDefault="003B46B6" w:rsidP="00D33F43">
            <w:pPr>
              <w:rPr>
                <w:sz w:val="20"/>
                <w:szCs w:val="20"/>
                <w:lang w:val="fr-FR"/>
              </w:rPr>
            </w:pPr>
            <w:r>
              <w:rPr>
                <w:rFonts w:ascii="Wingdings" w:eastAsia="Wingdings" w:hAnsi="Wingdings" w:cs="Wingdings"/>
                <w:lang w:val="fr-FR"/>
              </w:rPr>
              <w:t></w:t>
            </w:r>
            <w:r w:rsidRPr="001A1ED7">
              <w:rPr>
                <w:sz w:val="20"/>
                <w:szCs w:val="20"/>
                <w:lang w:val="fr-FR"/>
              </w:rPr>
              <w:t>…comparer la répartition spatiale d’un aléa avec celle d’une composante orohydrographique ou bioclimatique pour identifier l’existence de liens entre elle</w:t>
            </w:r>
            <w:r w:rsidR="006331AD">
              <w:rPr>
                <w:sz w:val="20"/>
                <w:szCs w:val="20"/>
                <w:lang w:val="fr-FR"/>
              </w:rPr>
              <w:t>s</w:t>
            </w:r>
          </w:p>
          <w:p w14:paraId="0864BDB0" w14:textId="77777777" w:rsidR="003B46B6" w:rsidRPr="003B46B6" w:rsidRDefault="003B46B6" w:rsidP="003B46B6">
            <w:pPr>
              <w:rPr>
                <w:sz w:val="20"/>
                <w:szCs w:val="20"/>
                <w:lang w:val="fr-FR"/>
              </w:rPr>
            </w:pPr>
            <w:r>
              <w:rPr>
                <w:rFonts w:ascii="Wingdings" w:eastAsia="Wingdings" w:hAnsi="Wingdings" w:cs="Wingdings"/>
                <w:lang w:val="fr-FR"/>
              </w:rPr>
              <w:t></w:t>
            </w:r>
            <w:r w:rsidRPr="001A1ED7">
              <w:rPr>
                <w:sz w:val="20"/>
                <w:szCs w:val="20"/>
                <w:lang w:val="fr-FR"/>
              </w:rPr>
              <w:t>…comparer la répartition de l’aléa et celle d’une population pour identifier des espaces à risque</w:t>
            </w:r>
          </w:p>
        </w:tc>
        <w:tc>
          <w:tcPr>
            <w:tcW w:w="5954" w:type="dxa"/>
          </w:tcPr>
          <w:p w14:paraId="350FC787" w14:textId="77777777" w:rsidR="003B46B6" w:rsidRPr="001A1ED7" w:rsidRDefault="003B46B6" w:rsidP="00D33F43">
            <w:pPr>
              <w:rPr>
                <w:sz w:val="20"/>
                <w:szCs w:val="20"/>
                <w:lang w:val="fr-FR"/>
              </w:rPr>
            </w:pPr>
            <w:r>
              <w:rPr>
                <w:rFonts w:ascii="Wingdings" w:eastAsia="Wingdings" w:hAnsi="Wingdings" w:cs="Wingdings"/>
                <w:lang w:val="fr-FR"/>
              </w:rPr>
              <w:t></w:t>
            </w:r>
            <w:r w:rsidRPr="001A1ED7">
              <w:rPr>
                <w:sz w:val="20"/>
                <w:szCs w:val="20"/>
                <w:lang w:val="fr-FR"/>
              </w:rPr>
              <w:t xml:space="preserve"> Annoter une représentation de l’espace ;</w:t>
            </w:r>
          </w:p>
          <w:p w14:paraId="3CCAB4A6" w14:textId="77777777" w:rsidR="003B46B6" w:rsidRPr="001A1ED7" w:rsidRDefault="003B46B6" w:rsidP="00D33F43">
            <w:pPr>
              <w:rPr>
                <w:sz w:val="20"/>
                <w:szCs w:val="20"/>
                <w:lang w:val="fr-FR"/>
              </w:rPr>
            </w:pPr>
            <w:r>
              <w:rPr>
                <w:rFonts w:ascii="Wingdings" w:eastAsia="Wingdings" w:hAnsi="Wingdings" w:cs="Wingdings"/>
                <w:lang w:val="fr-FR"/>
              </w:rPr>
              <w:t></w:t>
            </w:r>
            <w:r w:rsidRPr="001A1ED7">
              <w:rPr>
                <w:sz w:val="20"/>
                <w:szCs w:val="20"/>
                <w:lang w:val="fr-FR"/>
              </w:rPr>
              <w:t xml:space="preserve"> Commenter en quelques phrases une représentation de l’espace (ou des liens entre des composantes de l’espace) en utilisant le vocabulaire adéquat et des repères spatiaux pertinents.</w:t>
            </w:r>
          </w:p>
          <w:p w14:paraId="00C2B881" w14:textId="77777777" w:rsidR="003B46B6" w:rsidRPr="00D82B29" w:rsidRDefault="003B46B6" w:rsidP="00D33F43">
            <w:pPr>
              <w:ind w:left="360"/>
              <w:rPr>
                <w:sz w:val="20"/>
                <w:szCs w:val="20"/>
                <w:lang w:val="fr-FR"/>
              </w:rPr>
            </w:pPr>
            <w:r w:rsidRPr="0207C43A">
              <w:rPr>
                <w:sz w:val="20"/>
                <w:szCs w:val="20"/>
                <w:lang w:val="fr-FR"/>
              </w:rPr>
              <w:t>Exemples de situations d’apprentissage dans “Décrire/comparer des répartitions spatiales”</w:t>
            </w:r>
          </w:p>
          <w:p w14:paraId="736CF2EF" w14:textId="77777777" w:rsidR="003B46B6" w:rsidRDefault="003B46B6" w:rsidP="00D33F43">
            <w:pPr>
              <w:ind w:left="360"/>
              <w:rPr>
                <w:sz w:val="20"/>
                <w:szCs w:val="20"/>
                <w:lang w:val="fr-FR"/>
              </w:rPr>
            </w:pPr>
            <w:r>
              <w:rPr>
                <w:sz w:val="20"/>
                <w:szCs w:val="20"/>
                <w:lang w:val="fr-FR"/>
              </w:rPr>
              <w:t>Exemples de situations d’apprentissage</w:t>
            </w:r>
          </w:p>
          <w:p w14:paraId="0E5FA3DD" w14:textId="77777777" w:rsidR="003B46B6" w:rsidRDefault="007A5759" w:rsidP="00D33F43">
            <w:pPr>
              <w:ind w:left="360"/>
              <w:rPr>
                <w:sz w:val="20"/>
                <w:szCs w:val="20"/>
                <w:lang w:val="fr-FR"/>
              </w:rPr>
            </w:pPr>
            <w:hyperlink r:id="rId17" w:history="1">
              <w:r w:rsidR="003B46B6" w:rsidRPr="003B46B6">
                <w:rPr>
                  <w:rStyle w:val="Lienhypertexte"/>
                  <w:sz w:val="20"/>
                  <w:szCs w:val="20"/>
                  <w:lang w:val="fr-FR"/>
                </w:rPr>
                <w:t xml:space="preserve">Le cas du cyclone Florence ou du typhon </w:t>
              </w:r>
              <w:proofErr w:type="spellStart"/>
              <w:r w:rsidR="003B46B6" w:rsidRPr="003B46B6">
                <w:rPr>
                  <w:rStyle w:val="Lienhypertexte"/>
                  <w:sz w:val="20"/>
                  <w:szCs w:val="20"/>
                  <w:lang w:val="fr-FR"/>
                </w:rPr>
                <w:t>Mangkhut</w:t>
              </w:r>
              <w:proofErr w:type="spellEnd"/>
            </w:hyperlink>
          </w:p>
          <w:p w14:paraId="084C02F9" w14:textId="77777777" w:rsidR="003B46B6" w:rsidRDefault="007A5759" w:rsidP="00D33F43">
            <w:pPr>
              <w:ind w:left="360"/>
              <w:rPr>
                <w:sz w:val="20"/>
                <w:szCs w:val="20"/>
                <w:lang w:val="fr-FR"/>
              </w:rPr>
            </w:pPr>
            <w:hyperlink r:id="rId18" w:history="1">
              <w:r w:rsidR="003B46B6" w:rsidRPr="003B46B6">
                <w:rPr>
                  <w:rStyle w:val="Lienhypertexte"/>
                  <w:sz w:val="20"/>
                  <w:szCs w:val="20"/>
                  <w:lang w:val="fr-FR"/>
                </w:rPr>
                <w:t>Le cas des incendies en Amazonie</w:t>
              </w:r>
            </w:hyperlink>
          </w:p>
          <w:p w14:paraId="58FA86BE" w14:textId="77777777" w:rsidR="003B46B6" w:rsidRDefault="007A5759" w:rsidP="00D33F43">
            <w:pPr>
              <w:ind w:left="360"/>
              <w:rPr>
                <w:sz w:val="20"/>
                <w:szCs w:val="20"/>
                <w:lang w:val="fr-FR"/>
              </w:rPr>
            </w:pPr>
            <w:hyperlink r:id="rId19" w:history="1">
              <w:r w:rsidR="003B46B6" w:rsidRPr="003B46B6">
                <w:rPr>
                  <w:rStyle w:val="Lienhypertexte"/>
                  <w:sz w:val="20"/>
                  <w:szCs w:val="20"/>
                  <w:lang w:val="fr-FR"/>
                </w:rPr>
                <w:t>Le cas du Covid-19</w:t>
              </w:r>
            </w:hyperlink>
          </w:p>
          <w:p w14:paraId="5A39BBE3" w14:textId="77777777" w:rsidR="003B46B6" w:rsidRPr="00D82B29" w:rsidRDefault="003B46B6" w:rsidP="00D33F43">
            <w:pPr>
              <w:ind w:left="360"/>
              <w:rPr>
                <w:sz w:val="20"/>
                <w:szCs w:val="20"/>
                <w:lang w:val="fr-FR"/>
              </w:rPr>
            </w:pPr>
          </w:p>
        </w:tc>
      </w:tr>
      <w:tr w:rsidR="003B46B6" w14:paraId="0D49A4FF" w14:textId="77777777" w:rsidTr="003B46B6">
        <w:tc>
          <w:tcPr>
            <w:tcW w:w="1701" w:type="dxa"/>
            <w:shd w:val="clear" w:color="auto" w:fill="D9D9D9" w:themeFill="background1" w:themeFillShade="D9"/>
          </w:tcPr>
          <w:p w14:paraId="41C8F396" w14:textId="77777777" w:rsidR="003B46B6" w:rsidRPr="00A22C90" w:rsidRDefault="003B46B6" w:rsidP="00D33F43">
            <w:pPr>
              <w:rPr>
                <w:sz w:val="20"/>
                <w:szCs w:val="20"/>
                <w:lang w:val="fr-FR"/>
              </w:rPr>
            </w:pPr>
          </w:p>
        </w:tc>
        <w:tc>
          <w:tcPr>
            <w:tcW w:w="2835" w:type="dxa"/>
            <w:shd w:val="clear" w:color="auto" w:fill="D9D9D9" w:themeFill="background1" w:themeFillShade="D9"/>
          </w:tcPr>
          <w:p w14:paraId="047BBA30" w14:textId="77777777" w:rsidR="003B46B6" w:rsidRPr="006105C8" w:rsidRDefault="003B46B6" w:rsidP="00D33F43">
            <w:pPr>
              <w:jc w:val="center"/>
              <w:rPr>
                <w:b/>
                <w:bCs/>
                <w:sz w:val="20"/>
                <w:szCs w:val="20"/>
              </w:rPr>
            </w:pPr>
            <w:r w:rsidRPr="006105C8">
              <w:rPr>
                <w:b/>
                <w:bCs/>
                <w:sz w:val="20"/>
                <w:szCs w:val="20"/>
              </w:rPr>
              <w:t>Savoirs</w:t>
            </w:r>
          </w:p>
        </w:tc>
        <w:tc>
          <w:tcPr>
            <w:tcW w:w="5954" w:type="dxa"/>
            <w:shd w:val="clear" w:color="auto" w:fill="D9D9D9" w:themeFill="background1" w:themeFillShade="D9"/>
          </w:tcPr>
          <w:p w14:paraId="5BD85544" w14:textId="77777777" w:rsidR="003B46B6" w:rsidRPr="006105C8" w:rsidRDefault="003B46B6" w:rsidP="00D33F43">
            <w:pPr>
              <w:jc w:val="center"/>
              <w:rPr>
                <w:b/>
                <w:bCs/>
                <w:sz w:val="20"/>
                <w:szCs w:val="20"/>
                <w:lang w:val="fr-FR"/>
              </w:rPr>
            </w:pPr>
            <w:r w:rsidRPr="006105C8">
              <w:rPr>
                <w:b/>
                <w:bCs/>
                <w:sz w:val="20"/>
                <w:szCs w:val="20"/>
                <w:lang w:val="fr-FR"/>
              </w:rPr>
              <w:t>Attendus</w:t>
            </w:r>
          </w:p>
        </w:tc>
      </w:tr>
      <w:tr w:rsidR="003B46B6" w14:paraId="51E63465" w14:textId="77777777" w:rsidTr="003B46B6">
        <w:tc>
          <w:tcPr>
            <w:tcW w:w="1701" w:type="dxa"/>
            <w:vMerge w:val="restart"/>
            <w:vAlign w:val="center"/>
          </w:tcPr>
          <w:p w14:paraId="5C89A43B" w14:textId="77777777" w:rsidR="003B46B6" w:rsidRPr="006105C8" w:rsidRDefault="003B46B6" w:rsidP="00D33F43">
            <w:pPr>
              <w:jc w:val="center"/>
              <w:rPr>
                <w:b/>
                <w:bCs/>
                <w:sz w:val="20"/>
                <w:szCs w:val="20"/>
                <w:lang w:val="fr-FR"/>
              </w:rPr>
            </w:pPr>
            <w:r w:rsidRPr="006105C8">
              <w:rPr>
                <w:b/>
                <w:bCs/>
                <w:sz w:val="20"/>
                <w:szCs w:val="20"/>
                <w:lang w:val="fr-FR"/>
              </w:rPr>
              <w:t>Répartitions spatiales / repères spatiaux</w:t>
            </w:r>
          </w:p>
        </w:tc>
        <w:tc>
          <w:tcPr>
            <w:tcW w:w="2835" w:type="dxa"/>
          </w:tcPr>
          <w:p w14:paraId="5AE672F6" w14:textId="77777777" w:rsidR="003B46B6" w:rsidRDefault="007A5759" w:rsidP="00D33F43">
            <w:pPr>
              <w:rPr>
                <w:sz w:val="20"/>
                <w:szCs w:val="20"/>
                <w:lang w:val="fr-FR"/>
              </w:rPr>
            </w:pPr>
            <w:hyperlink r:id="rId20" w:history="1">
              <w:r w:rsidR="003B46B6" w:rsidRPr="00A22C90">
                <w:rPr>
                  <w:sz w:val="20"/>
                  <w:szCs w:val="20"/>
                  <w:lang w:val="fr-FR"/>
                </w:rPr>
                <w:t>Les principaux espaces peuplés et peu peuplés</w:t>
              </w:r>
            </w:hyperlink>
          </w:p>
          <w:p w14:paraId="72A3D3EC" w14:textId="77777777" w:rsidR="003B46B6" w:rsidRPr="00A22C90" w:rsidRDefault="003B46B6" w:rsidP="00D33F43">
            <w:pPr>
              <w:rPr>
                <w:sz w:val="20"/>
                <w:szCs w:val="20"/>
                <w:lang w:val="fr-FR"/>
              </w:rPr>
            </w:pPr>
          </w:p>
        </w:tc>
        <w:tc>
          <w:tcPr>
            <w:tcW w:w="5954" w:type="dxa"/>
          </w:tcPr>
          <w:p w14:paraId="74878613" w14:textId="77777777" w:rsidR="003B46B6" w:rsidRPr="00A22C90" w:rsidRDefault="003B46B6" w:rsidP="00D33F43">
            <w:pPr>
              <w:rPr>
                <w:sz w:val="20"/>
                <w:szCs w:val="20"/>
                <w:lang w:val="fr-FR"/>
              </w:rPr>
            </w:pPr>
            <w:r>
              <w:rPr>
                <w:rFonts w:ascii="Wingdings" w:eastAsia="Wingdings" w:hAnsi="Wingdings" w:cs="Wingdings"/>
                <w:lang w:val="fr-FR"/>
              </w:rPr>
              <w:t></w:t>
            </w:r>
            <w:r w:rsidRPr="001A1ED7">
              <w:rPr>
                <w:sz w:val="20"/>
                <w:szCs w:val="20"/>
                <w:lang w:val="fr-FR"/>
              </w:rPr>
              <w:t xml:space="preserve"> </w:t>
            </w:r>
            <w:r>
              <w:rPr>
                <w:sz w:val="20"/>
                <w:szCs w:val="20"/>
                <w:lang w:val="fr-FR"/>
              </w:rPr>
              <w:t xml:space="preserve"> </w:t>
            </w:r>
            <w:r w:rsidRPr="00A22C90">
              <w:rPr>
                <w:sz w:val="20"/>
                <w:szCs w:val="20"/>
                <w:lang w:val="fr-FR"/>
              </w:rPr>
              <w:t>L’élève peut représenter schématiquement les principaux espaces peuplés et peu peuplés sur une carte vierge et les nommer.</w:t>
            </w:r>
            <w:r w:rsidRPr="00A22C90">
              <w:rPr>
                <w:sz w:val="20"/>
                <w:szCs w:val="20"/>
                <w:lang w:val="fr-FR"/>
              </w:rPr>
              <w:br/>
              <w:t>L’élève peut localiser et nommer les principales aires urbaines figurées sur une carte</w:t>
            </w:r>
          </w:p>
          <w:p w14:paraId="12F88D1A" w14:textId="77777777" w:rsidR="003B46B6" w:rsidRPr="00073224" w:rsidRDefault="003B46B6" w:rsidP="00D33F43">
            <w:pPr>
              <w:ind w:left="320"/>
              <w:rPr>
                <w:sz w:val="18"/>
                <w:szCs w:val="18"/>
              </w:rPr>
            </w:pPr>
            <w:r w:rsidRPr="00073224">
              <w:rPr>
                <w:sz w:val="18"/>
                <w:szCs w:val="18"/>
              </w:rPr>
              <w:t>Les principaux espaces peuplés : Asie de l’Est (Chine), Asie du Sud (Inde, Pakistan), Indonésie, Golfe de Guinée (Nigéria), Région des Grands Lacs africains, Est de l’Amérique du Nord, Europe</w:t>
            </w:r>
          </w:p>
          <w:p w14:paraId="39CBE45B" w14:textId="77777777" w:rsidR="003B46B6" w:rsidRPr="00073224" w:rsidRDefault="003B46B6" w:rsidP="00D33F43">
            <w:pPr>
              <w:ind w:left="320"/>
              <w:rPr>
                <w:sz w:val="18"/>
                <w:szCs w:val="18"/>
              </w:rPr>
            </w:pPr>
            <w:r w:rsidRPr="00073224">
              <w:rPr>
                <w:sz w:val="18"/>
                <w:szCs w:val="18"/>
              </w:rPr>
              <w:t>Les principaux espaces peu peuplés : Amazonie, cuvette du Congo, Bornéo, Sahara, centre de l’Australie, péninsule arabique, Gobi, Nord du 60e parallèle Nord, Antarctique, Himalaya, Rocheuses, Andes.</w:t>
            </w:r>
          </w:p>
          <w:p w14:paraId="58BA5F04" w14:textId="77777777" w:rsidR="003B46B6" w:rsidRPr="00A22C90" w:rsidRDefault="003B46B6" w:rsidP="00D33F43">
            <w:pPr>
              <w:ind w:left="320"/>
              <w:rPr>
                <w:sz w:val="20"/>
                <w:szCs w:val="20"/>
              </w:rPr>
            </w:pPr>
            <w:r w:rsidRPr="00073224">
              <w:rPr>
                <w:sz w:val="18"/>
                <w:szCs w:val="18"/>
              </w:rPr>
              <w:t>Les 15 principales aires urbaines au niveau mondial : Tokyo, Delhi, Shanghai, São Paulo, Mumbai (Bombay), Ciudad de México (Mexico City), Beijing, Kinki M.M.A. (Osaka), Al-</w:t>
            </w:r>
            <w:proofErr w:type="spellStart"/>
            <w:r w:rsidRPr="00073224">
              <w:rPr>
                <w:sz w:val="18"/>
                <w:szCs w:val="18"/>
              </w:rPr>
              <w:t>Qahirah</w:t>
            </w:r>
            <w:proofErr w:type="spellEnd"/>
            <w:r w:rsidRPr="00073224">
              <w:rPr>
                <w:sz w:val="18"/>
                <w:szCs w:val="18"/>
              </w:rPr>
              <w:t xml:space="preserve"> (Le Caire), New York, Dhaka, Karachi, Buenos Aires, Kolkata (Calcutta), Istanbul.</w:t>
            </w:r>
          </w:p>
        </w:tc>
      </w:tr>
      <w:tr w:rsidR="003B46B6" w14:paraId="5486B3A1" w14:textId="77777777" w:rsidTr="003B46B6">
        <w:tc>
          <w:tcPr>
            <w:tcW w:w="1701" w:type="dxa"/>
            <w:vMerge/>
            <w:vAlign w:val="center"/>
          </w:tcPr>
          <w:p w14:paraId="0D0B940D" w14:textId="77777777" w:rsidR="003B46B6" w:rsidRPr="006105C8" w:rsidRDefault="003B46B6" w:rsidP="00D33F43">
            <w:pPr>
              <w:jc w:val="center"/>
              <w:rPr>
                <w:b/>
                <w:bCs/>
                <w:sz w:val="20"/>
                <w:szCs w:val="20"/>
                <w:lang w:val="fr-FR"/>
              </w:rPr>
            </w:pPr>
          </w:p>
        </w:tc>
        <w:tc>
          <w:tcPr>
            <w:tcW w:w="2835" w:type="dxa"/>
          </w:tcPr>
          <w:p w14:paraId="486CFA5B" w14:textId="77777777" w:rsidR="003B46B6" w:rsidRPr="00A22C90" w:rsidRDefault="003B46B6" w:rsidP="00D33F43">
            <w:pPr>
              <w:rPr>
                <w:sz w:val="20"/>
                <w:szCs w:val="20"/>
                <w:lang w:val="fr-FR"/>
              </w:rPr>
            </w:pPr>
            <w:r w:rsidRPr="00A22C90">
              <w:rPr>
                <w:sz w:val="20"/>
                <w:szCs w:val="20"/>
                <w:lang w:val="fr-FR"/>
              </w:rPr>
              <w:t>Les principaux ensembles orohydrographiques</w:t>
            </w:r>
          </w:p>
        </w:tc>
        <w:tc>
          <w:tcPr>
            <w:tcW w:w="5954" w:type="dxa"/>
          </w:tcPr>
          <w:p w14:paraId="720FFE8B" w14:textId="77777777" w:rsidR="003B46B6" w:rsidRPr="00A22C90" w:rsidRDefault="003B46B6" w:rsidP="00D33F43">
            <w:pPr>
              <w:rPr>
                <w:sz w:val="18"/>
                <w:szCs w:val="18"/>
                <w:lang w:val="fr-FR"/>
              </w:rPr>
            </w:pPr>
            <w:r>
              <w:rPr>
                <w:rFonts w:ascii="Wingdings" w:eastAsia="Wingdings" w:hAnsi="Wingdings" w:cs="Wingdings"/>
                <w:lang w:val="fr-FR"/>
              </w:rPr>
              <w:t></w:t>
            </w:r>
            <w:r w:rsidRPr="001A1ED7">
              <w:rPr>
                <w:sz w:val="20"/>
                <w:szCs w:val="20"/>
                <w:lang w:val="fr-FR"/>
              </w:rPr>
              <w:t xml:space="preserve"> </w:t>
            </w:r>
            <w:r>
              <w:rPr>
                <w:sz w:val="20"/>
                <w:szCs w:val="20"/>
                <w:lang w:val="fr-FR"/>
              </w:rPr>
              <w:t xml:space="preserve"> </w:t>
            </w:r>
            <w:r w:rsidRPr="00A22C90">
              <w:rPr>
                <w:sz w:val="20"/>
                <w:szCs w:val="20"/>
                <w:lang w:val="fr-FR"/>
              </w:rPr>
              <w:t>L’élève peut représenter schématiquement les principaux reliefs sur une carte vierge et les nommer</w:t>
            </w:r>
            <w:r>
              <w:rPr>
                <w:sz w:val="20"/>
                <w:szCs w:val="20"/>
                <w:lang w:val="fr-FR"/>
              </w:rPr>
              <w:t xml:space="preserve"> </w:t>
            </w:r>
            <w:r w:rsidRPr="00A22C90">
              <w:rPr>
                <w:sz w:val="20"/>
                <w:szCs w:val="20"/>
                <w:lang w:val="fr-FR"/>
              </w:rPr>
              <w:t xml:space="preserve">: </w:t>
            </w:r>
            <w:r w:rsidRPr="00A22C90">
              <w:rPr>
                <w:sz w:val="18"/>
                <w:szCs w:val="18"/>
              </w:rPr>
              <w:t>Himalaya, Rocheuses, Andes, Rift africain</w:t>
            </w:r>
            <w:r w:rsidRPr="00A22C90">
              <w:rPr>
                <w:sz w:val="18"/>
                <w:szCs w:val="18"/>
                <w:lang w:val="fr-FR"/>
              </w:rPr>
              <w:t>.</w:t>
            </w:r>
          </w:p>
          <w:p w14:paraId="340EE67D" w14:textId="77777777" w:rsidR="003B46B6" w:rsidRPr="00A22C90" w:rsidRDefault="003B46B6" w:rsidP="00D33F43">
            <w:pPr>
              <w:rPr>
                <w:sz w:val="20"/>
                <w:szCs w:val="20"/>
                <w:lang w:val="fr-FR"/>
              </w:rPr>
            </w:pPr>
            <w:r w:rsidRPr="00A22C90">
              <w:rPr>
                <w:sz w:val="20"/>
                <w:szCs w:val="20"/>
                <w:lang w:val="fr-FR"/>
              </w:rPr>
              <w:t>L’élève peut nommer les principaux fleuves figurés sur une carte</w:t>
            </w:r>
            <w:r>
              <w:rPr>
                <w:sz w:val="20"/>
                <w:szCs w:val="20"/>
                <w:lang w:val="fr-FR"/>
              </w:rPr>
              <w:t xml:space="preserve"> </w:t>
            </w:r>
            <w:r w:rsidRPr="00A22C90">
              <w:rPr>
                <w:sz w:val="20"/>
                <w:szCs w:val="20"/>
                <w:lang w:val="fr-FR"/>
              </w:rPr>
              <w:t xml:space="preserve">: </w:t>
            </w:r>
            <w:r w:rsidRPr="00073224">
              <w:rPr>
                <w:sz w:val="18"/>
                <w:szCs w:val="18"/>
              </w:rPr>
              <w:t>Amazone, Mississippi, Gange, Huang He, Yangzi Jiang, Congo, Nil, Mékong, Indus, Brahmapoutre</w:t>
            </w:r>
            <w:r w:rsidRPr="00073224">
              <w:rPr>
                <w:sz w:val="18"/>
                <w:szCs w:val="18"/>
                <w:lang w:val="fr-FR"/>
              </w:rPr>
              <w:t>.</w:t>
            </w:r>
          </w:p>
        </w:tc>
      </w:tr>
      <w:tr w:rsidR="003B46B6" w14:paraId="47777BEF" w14:textId="77777777" w:rsidTr="003B46B6">
        <w:tc>
          <w:tcPr>
            <w:tcW w:w="1701" w:type="dxa"/>
            <w:vMerge w:val="restart"/>
            <w:vAlign w:val="center"/>
          </w:tcPr>
          <w:p w14:paraId="2F2EED60" w14:textId="77777777" w:rsidR="003B46B6" w:rsidRPr="006105C8" w:rsidRDefault="003B46B6" w:rsidP="00D33F43">
            <w:pPr>
              <w:jc w:val="center"/>
              <w:rPr>
                <w:b/>
                <w:bCs/>
                <w:sz w:val="20"/>
                <w:szCs w:val="20"/>
                <w:lang w:val="fr-FR"/>
              </w:rPr>
            </w:pPr>
            <w:r w:rsidRPr="006105C8">
              <w:rPr>
                <w:b/>
                <w:bCs/>
                <w:sz w:val="20"/>
                <w:szCs w:val="20"/>
                <w:lang w:val="fr-FR"/>
              </w:rPr>
              <w:t>Modèles spatiaux</w:t>
            </w:r>
          </w:p>
          <w:p w14:paraId="0E27B00A" w14:textId="77777777" w:rsidR="003B46B6" w:rsidRPr="006105C8" w:rsidRDefault="003B46B6" w:rsidP="00D33F43">
            <w:pPr>
              <w:jc w:val="center"/>
              <w:rPr>
                <w:b/>
                <w:bCs/>
                <w:sz w:val="20"/>
                <w:szCs w:val="20"/>
                <w:lang w:val="fr-FR"/>
              </w:rPr>
            </w:pPr>
          </w:p>
        </w:tc>
        <w:tc>
          <w:tcPr>
            <w:tcW w:w="2835" w:type="dxa"/>
          </w:tcPr>
          <w:p w14:paraId="5CB3EC78" w14:textId="77777777" w:rsidR="003B46B6" w:rsidRPr="00A22C90" w:rsidRDefault="003B46B6" w:rsidP="00D33F43">
            <w:pPr>
              <w:rPr>
                <w:sz w:val="20"/>
                <w:szCs w:val="20"/>
                <w:lang w:val="fr-FR"/>
              </w:rPr>
            </w:pPr>
            <w:r w:rsidRPr="00A22C90">
              <w:rPr>
                <w:sz w:val="20"/>
                <w:szCs w:val="20"/>
                <w:lang w:val="fr-FR"/>
              </w:rPr>
              <w:t>La tectonique des plaques</w:t>
            </w:r>
          </w:p>
        </w:tc>
        <w:tc>
          <w:tcPr>
            <w:tcW w:w="5954" w:type="dxa"/>
          </w:tcPr>
          <w:p w14:paraId="310860A8" w14:textId="77777777" w:rsidR="003B46B6" w:rsidRDefault="003B46B6" w:rsidP="00D33F43">
            <w:pPr>
              <w:rPr>
                <w:sz w:val="20"/>
                <w:szCs w:val="20"/>
                <w:lang w:val="fr-FR"/>
              </w:rPr>
            </w:pPr>
            <w:r>
              <w:rPr>
                <w:rFonts w:ascii="Wingdings" w:eastAsia="Wingdings" w:hAnsi="Wingdings" w:cs="Wingdings"/>
                <w:lang w:val="fr-FR"/>
              </w:rPr>
              <w:t></w:t>
            </w:r>
            <w:r w:rsidRPr="001A1ED7">
              <w:rPr>
                <w:sz w:val="20"/>
                <w:szCs w:val="20"/>
                <w:lang w:val="fr-FR"/>
              </w:rPr>
              <w:t xml:space="preserve"> </w:t>
            </w:r>
            <w:r>
              <w:rPr>
                <w:sz w:val="20"/>
                <w:szCs w:val="20"/>
                <w:lang w:val="fr-FR"/>
              </w:rPr>
              <w:t xml:space="preserve"> </w:t>
            </w:r>
            <w:r w:rsidRPr="00A22C90">
              <w:rPr>
                <w:sz w:val="20"/>
                <w:szCs w:val="20"/>
                <w:lang w:val="fr-FR"/>
              </w:rPr>
              <w:t>L’élève est à même, sur base d’informations relatives à un aléa tectonique, de contextualiser l’évènement par rapport au modèle de la tectonique des plaques en vue d’expliquer sa présence à cet endroit.</w:t>
            </w:r>
          </w:p>
          <w:p w14:paraId="1A0F4EBE" w14:textId="77777777" w:rsidR="003B46B6" w:rsidRPr="00A22C90" w:rsidRDefault="003B46B6" w:rsidP="003B46B6">
            <w:pPr>
              <w:ind w:left="360"/>
              <w:rPr>
                <w:sz w:val="20"/>
                <w:szCs w:val="20"/>
                <w:lang w:val="fr-FR"/>
              </w:rPr>
            </w:pPr>
            <w:r>
              <w:rPr>
                <w:sz w:val="20"/>
                <w:szCs w:val="20"/>
                <w:lang w:val="fr-FR"/>
              </w:rPr>
              <w:t>Exemple de situation d’apprentissage</w:t>
            </w:r>
            <w:r>
              <w:rPr>
                <w:sz w:val="20"/>
                <w:szCs w:val="20"/>
                <w:lang w:val="fr-FR"/>
              </w:rPr>
              <w:br/>
            </w:r>
            <w:hyperlink r:id="rId21" w:history="1">
              <w:r w:rsidRPr="003B46B6">
                <w:rPr>
                  <w:rStyle w:val="Lienhypertexte"/>
                  <w:sz w:val="20"/>
                  <w:szCs w:val="20"/>
                  <w:lang w:val="fr-FR"/>
                </w:rPr>
                <w:t>Le cas du séisme de Palu en septembre 2018</w:t>
              </w:r>
            </w:hyperlink>
          </w:p>
        </w:tc>
      </w:tr>
      <w:tr w:rsidR="003B46B6" w14:paraId="3ED69599" w14:textId="77777777" w:rsidTr="003B46B6">
        <w:tc>
          <w:tcPr>
            <w:tcW w:w="1701" w:type="dxa"/>
            <w:vMerge/>
            <w:vAlign w:val="center"/>
          </w:tcPr>
          <w:p w14:paraId="60061E4C" w14:textId="77777777" w:rsidR="003B46B6" w:rsidRPr="006105C8" w:rsidRDefault="003B46B6" w:rsidP="00D33F43">
            <w:pPr>
              <w:jc w:val="center"/>
              <w:rPr>
                <w:b/>
                <w:bCs/>
                <w:sz w:val="20"/>
                <w:szCs w:val="20"/>
                <w:lang w:val="fr-FR"/>
              </w:rPr>
            </w:pPr>
          </w:p>
        </w:tc>
        <w:tc>
          <w:tcPr>
            <w:tcW w:w="2835" w:type="dxa"/>
          </w:tcPr>
          <w:p w14:paraId="5A816F34" w14:textId="77777777" w:rsidR="003B46B6" w:rsidRPr="00A22C90" w:rsidRDefault="003B46B6" w:rsidP="00D33F43">
            <w:pPr>
              <w:rPr>
                <w:sz w:val="20"/>
                <w:szCs w:val="20"/>
                <w:lang w:val="fr-FR"/>
              </w:rPr>
            </w:pPr>
            <w:r>
              <w:rPr>
                <w:sz w:val="20"/>
                <w:szCs w:val="20"/>
                <w:lang w:val="fr-FR"/>
              </w:rPr>
              <w:t>La circulation atmosphérique</w:t>
            </w:r>
          </w:p>
        </w:tc>
        <w:tc>
          <w:tcPr>
            <w:tcW w:w="5954" w:type="dxa"/>
          </w:tcPr>
          <w:p w14:paraId="0FF775D6" w14:textId="77777777" w:rsidR="003B46B6" w:rsidRPr="00355DEC" w:rsidRDefault="003B46B6" w:rsidP="00D33F43">
            <w:pPr>
              <w:rPr>
                <w:sz w:val="20"/>
                <w:szCs w:val="20"/>
                <w:lang w:val="fr-FR"/>
              </w:rPr>
            </w:pPr>
            <w:r>
              <w:rPr>
                <w:rFonts w:ascii="Wingdings" w:eastAsia="Wingdings" w:hAnsi="Wingdings" w:cs="Wingdings"/>
                <w:lang w:val="fr-FR"/>
              </w:rPr>
              <w:t></w:t>
            </w:r>
            <w:r w:rsidRPr="001A1ED7">
              <w:rPr>
                <w:sz w:val="20"/>
                <w:szCs w:val="20"/>
                <w:lang w:val="fr-FR"/>
              </w:rPr>
              <w:t xml:space="preserve"> </w:t>
            </w:r>
            <w:r>
              <w:rPr>
                <w:sz w:val="20"/>
                <w:szCs w:val="20"/>
                <w:lang w:val="fr-FR"/>
              </w:rPr>
              <w:t xml:space="preserve"> </w:t>
            </w:r>
            <w:r w:rsidRPr="00355DEC">
              <w:rPr>
                <w:sz w:val="20"/>
                <w:szCs w:val="20"/>
                <w:lang w:val="fr-FR"/>
              </w:rPr>
              <w:t>L’élève peut exprimer le modèle spatial simplifié de la circulation atmosphérique de manière schématique</w:t>
            </w:r>
            <w:r>
              <w:rPr>
                <w:sz w:val="20"/>
                <w:szCs w:val="20"/>
                <w:lang w:val="fr-FR"/>
              </w:rPr>
              <w:t xml:space="preserve"> </w:t>
            </w:r>
            <w:r w:rsidRPr="00355DEC">
              <w:rPr>
                <w:sz w:val="20"/>
                <w:szCs w:val="20"/>
                <w:lang w:val="fr-FR"/>
              </w:rPr>
              <w:t>: croquis et annotations sur une carte.</w:t>
            </w:r>
          </w:p>
          <w:p w14:paraId="4BA37B3C" w14:textId="77777777" w:rsidR="003B46B6" w:rsidRDefault="003B46B6" w:rsidP="00D33F43">
            <w:pPr>
              <w:rPr>
                <w:sz w:val="20"/>
                <w:szCs w:val="20"/>
                <w:lang w:val="fr-FR"/>
              </w:rPr>
            </w:pPr>
            <w:r w:rsidRPr="00355DEC">
              <w:rPr>
                <w:sz w:val="20"/>
                <w:szCs w:val="20"/>
                <w:lang w:val="fr-FR"/>
              </w:rPr>
              <w:t>L’élève peut faire référence au modèle spatial simplifié de la circulation atmosphérique pour analyser la répartition spatiale des sècheresses, cyclones tropicaux et tornades.</w:t>
            </w:r>
          </w:p>
          <w:p w14:paraId="1F14FCE5" w14:textId="77777777" w:rsidR="000E4148" w:rsidRDefault="000E4148" w:rsidP="000E4148">
            <w:pPr>
              <w:ind w:left="708"/>
              <w:rPr>
                <w:sz w:val="20"/>
                <w:szCs w:val="20"/>
                <w:lang w:val="fr-FR"/>
              </w:rPr>
            </w:pPr>
            <w:r>
              <w:rPr>
                <w:sz w:val="20"/>
                <w:szCs w:val="20"/>
                <w:lang w:val="fr-FR"/>
              </w:rPr>
              <w:t>Exemple de situation d’apprentissage</w:t>
            </w:r>
          </w:p>
          <w:p w14:paraId="18217206" w14:textId="77777777" w:rsidR="000E4148" w:rsidRDefault="007A5759" w:rsidP="000E4148">
            <w:pPr>
              <w:ind w:left="708"/>
              <w:rPr>
                <w:sz w:val="20"/>
                <w:szCs w:val="20"/>
                <w:lang w:val="fr-FR"/>
              </w:rPr>
            </w:pPr>
            <w:hyperlink r:id="rId22" w:history="1">
              <w:r w:rsidR="000E4148" w:rsidRPr="000E4148">
                <w:rPr>
                  <w:rStyle w:val="Lienhypertexte"/>
                  <w:sz w:val="20"/>
                  <w:szCs w:val="20"/>
                  <w:lang w:val="fr-FR"/>
                </w:rPr>
                <w:t>La géographie des zones de fortes précipitations</w:t>
              </w:r>
            </w:hyperlink>
          </w:p>
          <w:p w14:paraId="73750787" w14:textId="77777777" w:rsidR="000E4148" w:rsidRPr="00A22C90" w:rsidRDefault="007A5759" w:rsidP="000E4148">
            <w:pPr>
              <w:ind w:left="708"/>
              <w:rPr>
                <w:sz w:val="20"/>
                <w:szCs w:val="20"/>
                <w:lang w:val="fr-FR"/>
              </w:rPr>
            </w:pPr>
            <w:hyperlink r:id="rId23" w:history="1">
              <w:r w:rsidR="000E4148" w:rsidRPr="000E4148">
                <w:rPr>
                  <w:rStyle w:val="Lienhypertexte"/>
                  <w:sz w:val="20"/>
                  <w:szCs w:val="20"/>
                  <w:lang w:val="fr-FR"/>
                </w:rPr>
                <w:t>Le cas des continents plastiques</w:t>
              </w:r>
            </w:hyperlink>
          </w:p>
        </w:tc>
      </w:tr>
    </w:tbl>
    <w:p w14:paraId="44EAFD9C" w14:textId="77777777" w:rsidR="003B46B6" w:rsidRDefault="003B46B6" w:rsidP="003B46B6">
      <w:pPr>
        <w:rPr>
          <w:b/>
          <w:bCs/>
          <w:lang w:val="fr-FR"/>
        </w:rPr>
      </w:pPr>
    </w:p>
    <w:p w14:paraId="3F1D4F03" w14:textId="77777777" w:rsidR="00C62FCE" w:rsidRPr="00F45B96" w:rsidRDefault="00C62FCE" w:rsidP="00C62FCE">
      <w:pPr>
        <w:pStyle w:val="Paragraphedeliste"/>
        <w:numPr>
          <w:ilvl w:val="0"/>
          <w:numId w:val="4"/>
        </w:numPr>
        <w:rPr>
          <w:b/>
          <w:bCs/>
          <w:sz w:val="28"/>
          <w:szCs w:val="28"/>
          <w:lang w:val="fr-FR"/>
        </w:rPr>
      </w:pPr>
      <w:bookmarkStart w:id="3" w:name="_Hlk37952659"/>
      <w:bookmarkStart w:id="4" w:name="_GoBack"/>
      <w:bookmarkEnd w:id="4"/>
      <w:r w:rsidRPr="00F45B96">
        <w:rPr>
          <w:b/>
          <w:bCs/>
          <w:sz w:val="28"/>
          <w:szCs w:val="28"/>
          <w:lang w:val="fr-FR"/>
        </w:rPr>
        <w:lastRenderedPageBreak/>
        <w:t>Notes et conseils pour utiliser efficacement les situations d’apprentissage dans le cadre de cours à distance</w:t>
      </w:r>
    </w:p>
    <w:p w14:paraId="74DF43D7" w14:textId="77777777" w:rsidR="00C62FCE" w:rsidRPr="000C0113" w:rsidRDefault="00C62FCE" w:rsidP="00C62FCE">
      <w:pPr>
        <w:ind w:left="360"/>
        <w:rPr>
          <w:lang w:val="fr-FR"/>
        </w:rPr>
      </w:pPr>
      <w:r w:rsidRPr="000C0113">
        <w:rPr>
          <w:lang w:val="fr-FR"/>
        </w:rPr>
        <w:t xml:space="preserve">Dans le tableau des « incontournables », des exemples de situations d’apprentissage sont proposés. Toutes les situations d’apprentissage sont accessibles sur </w:t>
      </w:r>
      <w:hyperlink r:id="rId24" w:history="1">
        <w:r w:rsidR="006A1911" w:rsidRPr="006C7ADC">
          <w:rPr>
            <w:rStyle w:val="Lienhypertexte"/>
            <w:lang w:val="fr-FR"/>
          </w:rPr>
          <w:t>http://geo.scienceshumaines.be/wordpress/?page_id=650</w:t>
        </w:r>
      </w:hyperlink>
      <w:r w:rsidR="006A1911">
        <w:rPr>
          <w:lang w:val="fr-FR"/>
        </w:rPr>
        <w:t xml:space="preserve"> </w:t>
      </w:r>
    </w:p>
    <w:p w14:paraId="11E06F53" w14:textId="77777777" w:rsidR="00C62FCE" w:rsidRPr="000C0113" w:rsidRDefault="00C62FCE" w:rsidP="00C62FCE">
      <w:pPr>
        <w:ind w:left="360"/>
        <w:rPr>
          <w:lang w:val="fr-FR"/>
        </w:rPr>
      </w:pPr>
      <w:r w:rsidRPr="000C0113">
        <w:rPr>
          <w:lang w:val="fr-FR"/>
        </w:rPr>
        <w:t>Les situations d’apprentissage s’organisent de la manière suivante :</w:t>
      </w:r>
    </w:p>
    <w:p w14:paraId="4690FF65" w14:textId="77777777" w:rsidR="00C62FCE" w:rsidRPr="000C0113" w:rsidRDefault="00C62FCE" w:rsidP="00C62FCE">
      <w:pPr>
        <w:pStyle w:val="Paragraphedeliste"/>
        <w:numPr>
          <w:ilvl w:val="0"/>
          <w:numId w:val="3"/>
        </w:numPr>
        <w:rPr>
          <w:lang w:val="fr-FR"/>
        </w:rPr>
      </w:pPr>
      <w:r w:rsidRPr="000C0113">
        <w:rPr>
          <w:lang w:val="fr-FR"/>
        </w:rPr>
        <w:t>Une contextualisation (objet général de l’apprentissage)</w:t>
      </w:r>
    </w:p>
    <w:p w14:paraId="59CBE808" w14:textId="77777777" w:rsidR="00C62FCE" w:rsidRPr="000C0113" w:rsidRDefault="00C62FCE" w:rsidP="00C62FCE">
      <w:pPr>
        <w:pStyle w:val="Paragraphedeliste"/>
        <w:numPr>
          <w:ilvl w:val="0"/>
          <w:numId w:val="3"/>
        </w:numPr>
        <w:rPr>
          <w:lang w:val="fr-FR"/>
        </w:rPr>
      </w:pPr>
      <w:r w:rsidRPr="000C0113">
        <w:rPr>
          <w:lang w:val="fr-FR"/>
        </w:rPr>
        <w:t>Les supports documentaires : l’accent est porté sur les outils numériques que l’élève pourra utiliser à distance.</w:t>
      </w:r>
    </w:p>
    <w:p w14:paraId="5842C3FE" w14:textId="77777777" w:rsidR="00C62FCE" w:rsidRPr="000C0113" w:rsidRDefault="00C62FCE" w:rsidP="00C62FCE">
      <w:pPr>
        <w:pStyle w:val="Paragraphedeliste"/>
        <w:numPr>
          <w:ilvl w:val="0"/>
          <w:numId w:val="3"/>
        </w:numPr>
        <w:rPr>
          <w:lang w:val="fr-FR"/>
        </w:rPr>
      </w:pPr>
      <w:r w:rsidRPr="2DB06B5A">
        <w:rPr>
          <w:lang w:val="fr-FR"/>
        </w:rPr>
        <w:t>Les consignes : elles précisent ce qui est attendu de l’élève en termes de production. Cette production est le reflet du niveau de maitrise de l’apprentissage.</w:t>
      </w:r>
      <w:r>
        <w:br/>
      </w:r>
      <w:r w:rsidRPr="2DB06B5A">
        <w:rPr>
          <w:lang w:val="fr-FR"/>
        </w:rPr>
        <w:t>Il faut s’assurer que la forme de la production ne constitue pas un obstacle à sa réalisation.</w:t>
      </w:r>
    </w:p>
    <w:p w14:paraId="56A8506F" w14:textId="77777777" w:rsidR="00C62FCE" w:rsidRPr="000C0113" w:rsidRDefault="00C62FCE" w:rsidP="00C62FCE">
      <w:pPr>
        <w:pStyle w:val="Paragraphedeliste"/>
        <w:numPr>
          <w:ilvl w:val="0"/>
          <w:numId w:val="3"/>
        </w:numPr>
        <w:rPr>
          <w:lang w:val="fr-FR"/>
        </w:rPr>
      </w:pPr>
      <w:r w:rsidRPr="2DB06B5A">
        <w:rPr>
          <w:lang w:val="fr-FR"/>
        </w:rPr>
        <w:t>Un exemple de production attendue.</w:t>
      </w:r>
      <w:r>
        <w:br/>
      </w:r>
      <w:r w:rsidRPr="2DB06B5A">
        <w:rPr>
          <w:lang w:val="fr-FR"/>
        </w:rPr>
        <w:t>Attention, si les élèves n’ont pas les savoir-faire et/ou le matériel suffisants pour atteindre la production attendue, il est nécessaire d’adapter les consignes.</w:t>
      </w:r>
    </w:p>
    <w:p w14:paraId="72E3A9E6" w14:textId="77777777" w:rsidR="00C62FCE" w:rsidRPr="000C0113" w:rsidRDefault="00C62FCE" w:rsidP="00C62FCE">
      <w:pPr>
        <w:pStyle w:val="Paragraphedeliste"/>
        <w:numPr>
          <w:ilvl w:val="0"/>
          <w:numId w:val="3"/>
        </w:numPr>
        <w:rPr>
          <w:lang w:val="fr-FR"/>
        </w:rPr>
      </w:pPr>
      <w:r w:rsidRPr="000C0113">
        <w:rPr>
          <w:lang w:val="fr-FR"/>
        </w:rPr>
        <w:t>Un exemple de structuration des acquis.</w:t>
      </w:r>
      <w:r w:rsidRPr="000C0113">
        <w:rPr>
          <w:lang w:val="fr-FR"/>
        </w:rPr>
        <w:br/>
        <w:t xml:space="preserve">Au-delà de l’exercice d’apprentissage, il est indispensable de structurer ce qui a été appris. Il est nécessaire de donner le temps aux élèves de revenir sur ce qui a été appris. Les exemples ne reprennent pas tout le développement qui s’impose dans cette partie et qui sera fonction des prérequis variables en fonction des classes. </w:t>
      </w:r>
    </w:p>
    <w:p w14:paraId="29F78E3B" w14:textId="77777777" w:rsidR="00C62FCE" w:rsidRPr="000C0113" w:rsidRDefault="00C62FCE" w:rsidP="00C62FCE">
      <w:pPr>
        <w:pStyle w:val="Paragraphedeliste"/>
        <w:numPr>
          <w:ilvl w:val="0"/>
          <w:numId w:val="3"/>
        </w:numPr>
        <w:rPr>
          <w:lang w:val="fr-FR"/>
        </w:rPr>
      </w:pPr>
      <w:r w:rsidRPr="000C0113">
        <w:rPr>
          <w:lang w:val="fr-FR"/>
        </w:rPr>
        <w:t xml:space="preserve">Un exemple de grille d’évaluation. </w:t>
      </w:r>
      <w:r w:rsidRPr="000C0113">
        <w:rPr>
          <w:lang w:val="fr-FR"/>
        </w:rPr>
        <w:br/>
        <w:t>Attention, cette dernière ne vise pas à sanctionner les élèves, mais à vous donner des indicateurs afin d’évaluer le degré de maitrise de ce qui a été appris. SI la maitrise n’est pas suffisante, cela indique qu’il faudra revenir sur les apprentissages d’une autre manière.</w:t>
      </w:r>
    </w:p>
    <w:p w14:paraId="7A80A976" w14:textId="77777777" w:rsidR="00C62FCE" w:rsidRPr="000B39AB" w:rsidRDefault="00C62FCE" w:rsidP="00C62FCE">
      <w:pPr>
        <w:ind w:left="360"/>
        <w:rPr>
          <w:b/>
          <w:bCs/>
          <w:sz w:val="28"/>
          <w:szCs w:val="28"/>
          <w:lang w:val="fr-FR"/>
        </w:rPr>
      </w:pPr>
      <w:r w:rsidRPr="000B39AB">
        <w:rPr>
          <w:b/>
          <w:bCs/>
          <w:sz w:val="28"/>
          <w:szCs w:val="28"/>
          <w:lang w:val="fr-FR"/>
        </w:rPr>
        <w:t>Conseils pour utiliser efficacement ces situations d’apprentissage dans le cadre d’un enseignement à distance</w:t>
      </w:r>
    </w:p>
    <w:p w14:paraId="1E35496F" w14:textId="77777777" w:rsidR="00C62FCE" w:rsidRPr="00F45B96" w:rsidRDefault="00C62FCE" w:rsidP="00C62FCE">
      <w:pPr>
        <w:pStyle w:val="NormalWeb"/>
        <w:numPr>
          <w:ilvl w:val="0"/>
          <w:numId w:val="2"/>
        </w:numPr>
        <w:shd w:val="clear" w:color="auto" w:fill="FFFFFF"/>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 xml:space="preserve">Dans la situation d’apprentissage proposée, faites un copier-coller des points 2 et 3 (les documents et les consignes). </w:t>
      </w:r>
    </w:p>
    <w:p w14:paraId="67C452B9" w14:textId="77777777" w:rsidR="00C62FCE" w:rsidRPr="00F45B96" w:rsidRDefault="00C62FCE" w:rsidP="00C62FCE">
      <w:pPr>
        <w:pStyle w:val="NormalWeb"/>
        <w:numPr>
          <w:ilvl w:val="0"/>
          <w:numId w:val="2"/>
        </w:numPr>
        <w:shd w:val="clear" w:color="auto" w:fill="FFFFFF" w:themeFill="background1"/>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Adaptez éventuellement les consignes de manière à vous assurer qu’elles sont accessibles à l’ensemble de vos élèves. Vérifiez que l’élève a les savoir-faire suffisants pour réaliser la production attendue. Si ce n’est pas le cas, prévoyez un support (procédure, assistance en ligne…) pour permettre aux élèves de réaliser la tâche.</w:t>
      </w:r>
    </w:p>
    <w:p w14:paraId="06A6CC9C" w14:textId="77777777" w:rsidR="00C62FCE" w:rsidRPr="00F45B96" w:rsidRDefault="00C62FCE" w:rsidP="00C62FCE">
      <w:pPr>
        <w:pStyle w:val="NormalWeb"/>
        <w:numPr>
          <w:ilvl w:val="0"/>
          <w:numId w:val="2"/>
        </w:numPr>
        <w:shd w:val="clear" w:color="auto" w:fill="FFFFFF" w:themeFill="background1"/>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Ajoutez à ces consignes le délai pour l’envoi de la production et les modalités pour la communication de la production.</w:t>
      </w:r>
    </w:p>
    <w:p w14:paraId="17175697" w14:textId="77777777" w:rsidR="00C62FCE" w:rsidRPr="00F45B96" w:rsidRDefault="00C62FCE" w:rsidP="00C62FCE">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La grille d’évaluation est proposée afin de vous donner les indicateurs qui vous permettront d’apprécier la qualité des apprentissages et d’envisager, si nécessaire, d’autres situations pour remédier aux éventuelles lacunes.</w:t>
      </w:r>
    </w:p>
    <w:bookmarkEnd w:id="3"/>
    <w:p w14:paraId="3DEEC669" w14:textId="77777777" w:rsidR="00755667" w:rsidRPr="003B46B6" w:rsidRDefault="00755667"/>
    <w:sectPr w:rsidR="00755667" w:rsidRPr="003B46B6">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F31CB" w14:textId="77777777" w:rsidR="00395C0C" w:rsidRDefault="00395C0C" w:rsidP="003B46B6">
      <w:pPr>
        <w:spacing w:after="0" w:line="240" w:lineRule="auto"/>
      </w:pPr>
      <w:r>
        <w:separator/>
      </w:r>
    </w:p>
  </w:endnote>
  <w:endnote w:type="continuationSeparator" w:id="0">
    <w:p w14:paraId="53128261" w14:textId="77777777" w:rsidR="00395C0C" w:rsidRDefault="00395C0C" w:rsidP="003B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726EA" w14:textId="762B8F46" w:rsidR="007A5759" w:rsidRDefault="007A5759" w:rsidP="007A5759">
    <w:pPr>
      <w:pStyle w:val="Pieddepage"/>
      <w:rPr>
        <w:caps/>
        <w:color w:val="4472C4" w:themeColor="accent1"/>
      </w:rPr>
    </w:pPr>
    <w:r>
      <w:rPr>
        <w:caps/>
        <w:noProof/>
        <w:color w:val="4472C4" w:themeColor="accent1"/>
      </w:rPr>
      <w:drawing>
        <wp:inline distT="0" distB="0" distL="0" distR="0" wp14:anchorId="04AABFBF" wp14:editId="790955C0">
          <wp:extent cx="876515" cy="514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389" cy="532467"/>
                  </a:xfrm>
                  <a:prstGeom prst="rect">
                    <a:avLst/>
                  </a:prstGeom>
                  <a:noFill/>
                </pic:spPr>
              </pic:pic>
            </a:graphicData>
          </a:graphic>
        </wp:inline>
      </w:drawing>
    </w:r>
    <w:r>
      <w:rPr>
        <w:caps/>
        <w:color w:val="4472C4" w:themeColor="accent1"/>
      </w:rPr>
      <w:t xml:space="preserve">                                                                                                                                                        </w:t>
    </w: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fr-FR"/>
      </w:rPr>
      <w:t>2</w:t>
    </w:r>
    <w:r>
      <w:rPr>
        <w:caps/>
        <w:color w:val="4472C4" w:themeColor="accent1"/>
      </w:rPr>
      <w:fldChar w:fldCharType="end"/>
    </w:r>
  </w:p>
  <w:p w14:paraId="712955DD" w14:textId="77777777" w:rsidR="007A5759" w:rsidRDefault="007A57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6B9AB" w14:textId="77777777" w:rsidR="00395C0C" w:rsidRDefault="00395C0C" w:rsidP="003B46B6">
      <w:pPr>
        <w:spacing w:after="0" w:line="240" w:lineRule="auto"/>
      </w:pPr>
      <w:r>
        <w:separator/>
      </w:r>
    </w:p>
  </w:footnote>
  <w:footnote w:type="continuationSeparator" w:id="0">
    <w:p w14:paraId="45FB0818" w14:textId="77777777" w:rsidR="00395C0C" w:rsidRDefault="00395C0C" w:rsidP="003B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FFEA" w14:textId="77777777" w:rsidR="003B46B6" w:rsidRDefault="003B46B6" w:rsidP="003B46B6">
    <w:pPr>
      <w:pStyle w:val="En-tte"/>
      <w:pBdr>
        <w:bottom w:val="single" w:sz="4" w:space="1" w:color="auto"/>
      </w:pBdr>
    </w:pPr>
    <w:r>
      <w:rPr>
        <w:noProof/>
      </w:rPr>
      <w:drawing>
        <wp:anchor distT="0" distB="0" distL="114300" distR="114300" simplePos="0" relativeHeight="251659264" behindDoc="0" locked="0" layoutInCell="1" allowOverlap="1" wp14:anchorId="6F418E18" wp14:editId="40F5301F">
          <wp:simplePos x="0" y="0"/>
          <wp:positionH relativeFrom="column">
            <wp:posOffset>5372100</wp:posOffset>
          </wp:positionH>
          <wp:positionV relativeFrom="paragraph">
            <wp:posOffset>-238760</wp:posOffset>
          </wp:positionV>
          <wp:extent cx="978195" cy="850604"/>
          <wp:effectExtent l="0" t="0" r="0" b="6985"/>
          <wp:wrapNone/>
          <wp:docPr id="270804116" name="Image 270804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195" cy="850604"/>
                  </a:xfrm>
                  <a:prstGeom prst="rect">
                    <a:avLst/>
                  </a:prstGeom>
                </pic:spPr>
              </pic:pic>
            </a:graphicData>
          </a:graphic>
          <wp14:sizeRelH relativeFrom="margin">
            <wp14:pctWidth>0</wp14:pctWidth>
          </wp14:sizeRelH>
          <wp14:sizeRelV relativeFrom="margin">
            <wp14:pctHeight>0</wp14:pctHeight>
          </wp14:sizeRelV>
        </wp:anchor>
      </w:drawing>
    </w:r>
    <w:r w:rsidR="450B39E2" w:rsidRPr="0207C43A">
      <w:rPr>
        <w:b/>
        <w:bCs/>
        <w:lang w:val="fr-FR"/>
      </w:rPr>
      <w:t>Formation géographique – 3</w:t>
    </w:r>
    <w:r w:rsidR="450B39E2" w:rsidRPr="0207C43A">
      <w:rPr>
        <w:b/>
        <w:bCs/>
        <w:vertAlign w:val="superscript"/>
        <w:lang w:val="fr-FR"/>
      </w:rPr>
      <w:t>e</w:t>
    </w:r>
    <w:r w:rsidR="450B39E2" w:rsidRPr="0207C43A">
      <w:rPr>
        <w:b/>
        <w:bCs/>
        <w:lang w:val="fr-FR"/>
      </w:rPr>
      <w:t xml:space="preserve"> année</w:t>
    </w:r>
    <w:r w:rsidR="450B39E2">
      <w:rPr>
        <w:b/>
        <w:bCs/>
        <w:lang w:val="fr-FR"/>
      </w:rPr>
      <w:t>–</w:t>
    </w:r>
    <w:r w:rsidR="450B39E2" w:rsidRPr="0207C43A">
      <w:rPr>
        <w:b/>
        <w:bCs/>
        <w:lang w:val="fr-FR"/>
      </w:rPr>
      <w:t xml:space="preserve"> </w:t>
    </w:r>
    <w:r w:rsidR="450B39E2">
      <w:rPr>
        <w:b/>
        <w:bCs/>
        <w:lang w:val="fr-FR"/>
      </w:rPr>
      <w:t xml:space="preserve">Les essentiels - </w:t>
    </w:r>
    <w:hyperlink r:id="rId2">
      <w:r w:rsidR="450B39E2" w:rsidRPr="0207C43A">
        <w:rPr>
          <w:rStyle w:val="Lienhypertexte"/>
          <w:sz w:val="20"/>
          <w:szCs w:val="20"/>
          <w:lang w:val="fr-FR"/>
        </w:rPr>
        <w:t>https://geo.fesec.be</w:t>
      </w:r>
    </w:hyperlink>
    <w:r w:rsidR="450B39E2">
      <w:rPr>
        <w:sz w:val="20"/>
        <w:szCs w:val="20"/>
        <w:lang w:val="fr-FR"/>
      </w:rPr>
      <w:t xml:space="preserve"> </w:t>
    </w:r>
    <w:r w:rsidR="450B39E2" w:rsidRPr="003B46B6">
      <w:rPr>
        <w:rFonts w:ascii="Wingdings" w:eastAsia="Wingdings" w:hAnsi="Wingdings" w:cs="Wingdings"/>
        <w:sz w:val="20"/>
        <w:szCs w:val="20"/>
        <w:lang w:val="fr-FR"/>
      </w:rPr>
      <w:t></w:t>
    </w:r>
    <w:r w:rsidR="450B39E2">
      <w:rPr>
        <w:sz w:val="20"/>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476E"/>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9465B2"/>
    <w:multiLevelType w:val="hybridMultilevel"/>
    <w:tmpl w:val="42924F42"/>
    <w:lvl w:ilvl="0" w:tplc="258A7A5E">
      <w:start w:val="1"/>
      <w:numFmt w:val="bullet"/>
      <w:lvlText w:val=""/>
      <w:lvlJc w:val="left"/>
      <w:pPr>
        <w:ind w:left="720" w:hanging="360"/>
      </w:pPr>
      <w:rPr>
        <w:rFonts w:ascii="Symbol" w:hAnsi="Symbol" w:hint="default"/>
      </w:rPr>
    </w:lvl>
    <w:lvl w:ilvl="1" w:tplc="FAE02932">
      <w:start w:val="1"/>
      <w:numFmt w:val="bullet"/>
      <w:lvlText w:val="o"/>
      <w:lvlJc w:val="left"/>
      <w:pPr>
        <w:ind w:left="1440" w:hanging="360"/>
      </w:pPr>
      <w:rPr>
        <w:rFonts w:ascii="Courier New" w:hAnsi="Courier New" w:hint="default"/>
      </w:rPr>
    </w:lvl>
    <w:lvl w:ilvl="2" w:tplc="C7A0C110">
      <w:start w:val="1"/>
      <w:numFmt w:val="bullet"/>
      <w:lvlText w:val=""/>
      <w:lvlJc w:val="left"/>
      <w:pPr>
        <w:ind w:left="2160" w:hanging="360"/>
      </w:pPr>
      <w:rPr>
        <w:rFonts w:ascii="Wingdings" w:hAnsi="Wingdings" w:hint="default"/>
      </w:rPr>
    </w:lvl>
    <w:lvl w:ilvl="3" w:tplc="17B4BEEA">
      <w:start w:val="1"/>
      <w:numFmt w:val="bullet"/>
      <w:lvlText w:val=""/>
      <w:lvlJc w:val="left"/>
      <w:pPr>
        <w:ind w:left="2880" w:hanging="360"/>
      </w:pPr>
      <w:rPr>
        <w:rFonts w:ascii="Symbol" w:hAnsi="Symbol" w:hint="default"/>
      </w:rPr>
    </w:lvl>
    <w:lvl w:ilvl="4" w:tplc="94A29D08">
      <w:start w:val="1"/>
      <w:numFmt w:val="bullet"/>
      <w:lvlText w:val="o"/>
      <w:lvlJc w:val="left"/>
      <w:pPr>
        <w:ind w:left="3600" w:hanging="360"/>
      </w:pPr>
      <w:rPr>
        <w:rFonts w:ascii="Courier New" w:hAnsi="Courier New" w:hint="default"/>
      </w:rPr>
    </w:lvl>
    <w:lvl w:ilvl="5" w:tplc="AFB65D64">
      <w:start w:val="1"/>
      <w:numFmt w:val="bullet"/>
      <w:lvlText w:val=""/>
      <w:lvlJc w:val="left"/>
      <w:pPr>
        <w:ind w:left="4320" w:hanging="360"/>
      </w:pPr>
      <w:rPr>
        <w:rFonts w:ascii="Wingdings" w:hAnsi="Wingdings" w:hint="default"/>
      </w:rPr>
    </w:lvl>
    <w:lvl w:ilvl="6" w:tplc="1D70BAB2">
      <w:start w:val="1"/>
      <w:numFmt w:val="bullet"/>
      <w:lvlText w:val=""/>
      <w:lvlJc w:val="left"/>
      <w:pPr>
        <w:ind w:left="5040" w:hanging="360"/>
      </w:pPr>
      <w:rPr>
        <w:rFonts w:ascii="Symbol" w:hAnsi="Symbol" w:hint="default"/>
      </w:rPr>
    </w:lvl>
    <w:lvl w:ilvl="7" w:tplc="E4C4D362">
      <w:start w:val="1"/>
      <w:numFmt w:val="bullet"/>
      <w:lvlText w:val="o"/>
      <w:lvlJc w:val="left"/>
      <w:pPr>
        <w:ind w:left="5760" w:hanging="360"/>
      </w:pPr>
      <w:rPr>
        <w:rFonts w:ascii="Courier New" w:hAnsi="Courier New" w:hint="default"/>
      </w:rPr>
    </w:lvl>
    <w:lvl w:ilvl="8" w:tplc="F4DAEB68">
      <w:start w:val="1"/>
      <w:numFmt w:val="bullet"/>
      <w:lvlText w:val=""/>
      <w:lvlJc w:val="left"/>
      <w:pPr>
        <w:ind w:left="6480" w:hanging="360"/>
      </w:pPr>
      <w:rPr>
        <w:rFonts w:ascii="Wingdings" w:hAnsi="Wingdings" w:hint="default"/>
      </w:rPr>
    </w:lvl>
  </w:abstractNum>
  <w:abstractNum w:abstractNumId="2" w15:restartNumberingAfterBreak="0">
    <w:nsid w:val="3EE111FE"/>
    <w:multiLevelType w:val="hybridMultilevel"/>
    <w:tmpl w:val="E6C4737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A9D23F3"/>
    <w:multiLevelType w:val="hybridMultilevel"/>
    <w:tmpl w:val="1536F670"/>
    <w:lvl w:ilvl="0" w:tplc="686EAA70">
      <w:start w:val="1"/>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A73393C"/>
    <w:multiLevelType w:val="hybridMultilevel"/>
    <w:tmpl w:val="CD2467E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61D97F24"/>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6"/>
    <w:rsid w:val="000E4148"/>
    <w:rsid w:val="00395C0C"/>
    <w:rsid w:val="003B46B6"/>
    <w:rsid w:val="006331AD"/>
    <w:rsid w:val="006A1911"/>
    <w:rsid w:val="00755667"/>
    <w:rsid w:val="007A5759"/>
    <w:rsid w:val="008B00B7"/>
    <w:rsid w:val="00A8520B"/>
    <w:rsid w:val="00C62FCE"/>
    <w:rsid w:val="00DD03FF"/>
    <w:rsid w:val="00FA6B99"/>
    <w:rsid w:val="450B39E2"/>
    <w:rsid w:val="53732A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14E6DB0"/>
  <w15:chartTrackingRefBased/>
  <w15:docId w15:val="{2A98ED58-4F8E-41E9-97E2-A84DF633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6B6"/>
    <w:pPr>
      <w:ind w:left="720"/>
      <w:contextualSpacing/>
    </w:pPr>
  </w:style>
  <w:style w:type="paragraph" w:styleId="En-tte">
    <w:name w:val="header"/>
    <w:basedOn w:val="Normal"/>
    <w:link w:val="En-tteCar"/>
    <w:uiPriority w:val="99"/>
    <w:unhideWhenUsed/>
    <w:rsid w:val="003B46B6"/>
    <w:pPr>
      <w:tabs>
        <w:tab w:val="center" w:pos="4536"/>
        <w:tab w:val="right" w:pos="9072"/>
      </w:tabs>
      <w:spacing w:after="0" w:line="240" w:lineRule="auto"/>
    </w:pPr>
  </w:style>
  <w:style w:type="character" w:customStyle="1" w:styleId="En-tteCar">
    <w:name w:val="En-tête Car"/>
    <w:basedOn w:val="Policepardfaut"/>
    <w:link w:val="En-tte"/>
    <w:uiPriority w:val="99"/>
    <w:rsid w:val="003B46B6"/>
  </w:style>
  <w:style w:type="paragraph" w:styleId="Pieddepage">
    <w:name w:val="footer"/>
    <w:basedOn w:val="Normal"/>
    <w:link w:val="PieddepageCar"/>
    <w:uiPriority w:val="99"/>
    <w:unhideWhenUsed/>
    <w:rsid w:val="003B4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6B6"/>
  </w:style>
  <w:style w:type="character" w:styleId="Lienhypertexte">
    <w:name w:val="Hyperlink"/>
    <w:basedOn w:val="Policepardfaut"/>
    <w:uiPriority w:val="99"/>
    <w:unhideWhenUsed/>
    <w:rsid w:val="003B46B6"/>
    <w:rPr>
      <w:color w:val="0000FF"/>
      <w:u w:val="single"/>
    </w:rPr>
  </w:style>
  <w:style w:type="character" w:styleId="Mentionnonrsolue">
    <w:name w:val="Unresolved Mention"/>
    <w:basedOn w:val="Policepardfaut"/>
    <w:uiPriority w:val="99"/>
    <w:semiHidden/>
    <w:unhideWhenUsed/>
    <w:rsid w:val="003B46B6"/>
    <w:rPr>
      <w:color w:val="605E5C"/>
      <w:shd w:val="clear" w:color="auto" w:fill="E1DFDD"/>
    </w:rPr>
  </w:style>
  <w:style w:type="paragraph" w:styleId="NormalWeb">
    <w:name w:val="Normal (Web)"/>
    <w:basedOn w:val="Normal"/>
    <w:uiPriority w:val="99"/>
    <w:unhideWhenUsed/>
    <w:rsid w:val="00C62FC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7A57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line.demoustier@segec.be" TargetMode="External"/><Relationship Id="rId18" Type="http://schemas.openxmlformats.org/officeDocument/2006/relationships/hyperlink" Target="http://geo.scienceshumaines.be/wordpress/?p=3083"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geo.scienceshumaines.be/wordpress/?p=3670" TargetMode="External"/><Relationship Id="rId7" Type="http://schemas.openxmlformats.org/officeDocument/2006/relationships/webSettings" Target="webSettings.xml"/><Relationship Id="rId12" Type="http://schemas.openxmlformats.org/officeDocument/2006/relationships/hyperlink" Target="mailto:axelle.delval@segec.be" TargetMode="External"/><Relationship Id="rId17" Type="http://schemas.openxmlformats.org/officeDocument/2006/relationships/hyperlink" Target="http://geo.scienceshumaines.be/wordpress/?p=316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c.deprez@segec.be" TargetMode="External"/><Relationship Id="rId20" Type="http://schemas.openxmlformats.org/officeDocument/2006/relationships/hyperlink" Target="http://geo.scienceshumaines.be/wordpress/?page_id=28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nne.quitin@segec.be" TargetMode="External"/><Relationship Id="rId24" Type="http://schemas.openxmlformats.org/officeDocument/2006/relationships/hyperlink" Target="http://geo.scienceshumaines.be/wordpress/?page_id=650" TargetMode="External"/><Relationship Id="rId5" Type="http://schemas.openxmlformats.org/officeDocument/2006/relationships/styles" Target="styles.xml"/><Relationship Id="rId15" Type="http://schemas.openxmlformats.org/officeDocument/2006/relationships/hyperlink" Target="mailto:celine.demoustier@segec.be" TargetMode="External"/><Relationship Id="rId23" Type="http://schemas.openxmlformats.org/officeDocument/2006/relationships/hyperlink" Target="http://geo.scienceshumaines.be/wordpress/?p=3108"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geo.scienceshumaines.be/wordpress/?p=510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scale.lambrechts@segec.be" TargetMode="External"/><Relationship Id="rId22" Type="http://schemas.openxmlformats.org/officeDocument/2006/relationships/hyperlink" Target="http://geo.scienceshumaines.be/wordpress/?p=2985"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s://geo.fesec.be"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05cd70-7e0f-4dc3-9eca-52c48a08fa6d">
      <UserInfo>
        <DisplayName>Blandine Flament</DisplayName>
        <AccountId>84</AccountId>
        <AccountType/>
      </UserInfo>
      <UserInfo>
        <DisplayName>Chaufoureau Lorry</DisplayName>
        <AccountId>47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b3e5ec1972e6f3d285b610c0c2250d1c">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86ba29c2418c6b38ee710b436edbd46e"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D67DC-E4F1-451B-B832-15BE733F2990}">
  <ds:schemaRefs>
    <ds:schemaRef ds:uri="http://schemas.microsoft.com/sharepoint/v3/contenttype/forms"/>
  </ds:schemaRefs>
</ds:datastoreItem>
</file>

<file path=customXml/itemProps2.xml><?xml version="1.0" encoding="utf-8"?>
<ds:datastoreItem xmlns:ds="http://schemas.openxmlformats.org/officeDocument/2006/customXml" ds:itemID="{5D604EAF-2744-4F7A-9B85-D761B9B7BB93}">
  <ds:schemaRef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5505cd70-7e0f-4dc3-9eca-52c48a08fa6d"/>
    <ds:schemaRef ds:uri="4d305eb4-31fb-457d-a69d-45076095c278"/>
  </ds:schemaRefs>
</ds:datastoreItem>
</file>

<file path=customXml/itemProps3.xml><?xml version="1.0" encoding="utf-8"?>
<ds:datastoreItem xmlns:ds="http://schemas.openxmlformats.org/officeDocument/2006/customXml" ds:itemID="{FFB37E65-BD8F-4D6C-94D7-62B149675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7115</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Blandine Flament</cp:lastModifiedBy>
  <cp:revision>2</cp:revision>
  <dcterms:created xsi:type="dcterms:W3CDTF">2020-04-29T14:01:00Z</dcterms:created>
  <dcterms:modified xsi:type="dcterms:W3CDTF">2020-04-29T14:01:00Z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0x0101002D5CE0CEABCA8140B3169D2FE44E3883</vt:lpwstr>
  </property>
</Properties>
</file>