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C7B80" w14:textId="0C74CFC4" w:rsidR="034FACFF" w:rsidRDefault="00EA14F3" w:rsidP="0CB676B7">
      <w:pPr>
        <w:ind w:left="360"/>
        <w:rPr>
          <w:b/>
          <w:bCs/>
          <w:sz w:val="28"/>
          <w:szCs w:val="28"/>
          <w:lang w:val="fr-FR"/>
        </w:rPr>
      </w:pPr>
      <w:r w:rsidRPr="001E1711">
        <w:rPr>
          <w:b/>
          <w:noProof/>
        </w:rPr>
        <w:drawing>
          <wp:anchor distT="0" distB="0" distL="114300" distR="114300" simplePos="0" relativeHeight="251656704" behindDoc="1" locked="0" layoutInCell="1" allowOverlap="1" wp14:anchorId="4E1724DC" wp14:editId="5C8243ED">
            <wp:simplePos x="0" y="0"/>
            <wp:positionH relativeFrom="margin">
              <wp:align>left</wp:align>
            </wp:positionH>
            <wp:positionV relativeFrom="paragraph">
              <wp:posOffset>9525</wp:posOffset>
            </wp:positionV>
            <wp:extent cx="1447800" cy="849630"/>
            <wp:effectExtent l="0" t="0" r="0" b="7620"/>
            <wp:wrapSquare wrapText="bothSides"/>
            <wp:docPr id="9" name="Image 9"/>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849630"/>
                    </a:xfrm>
                    <a:prstGeom prst="rect">
                      <a:avLst/>
                    </a:prstGeom>
                  </pic:spPr>
                </pic:pic>
              </a:graphicData>
            </a:graphic>
            <wp14:sizeRelH relativeFrom="margin">
              <wp14:pctWidth>0</wp14:pctWidth>
            </wp14:sizeRelH>
            <wp14:sizeRelV relativeFrom="margin">
              <wp14:pctHeight>0</wp14:pctHeight>
            </wp14:sizeRelV>
          </wp:anchor>
        </w:drawing>
      </w:r>
      <w:r w:rsidR="034FACFF" w:rsidRPr="0CB676B7">
        <w:rPr>
          <w:b/>
          <w:bCs/>
          <w:sz w:val="28"/>
          <w:szCs w:val="28"/>
          <w:lang w:val="fr-FR"/>
        </w:rPr>
        <w:t>GEOGRAPHIE</w:t>
      </w:r>
    </w:p>
    <w:p w14:paraId="78533E8F" w14:textId="2C93E22C" w:rsidR="00EA14F3" w:rsidRDefault="00EA14F3" w:rsidP="0CB676B7">
      <w:pPr>
        <w:ind w:left="360"/>
        <w:rPr>
          <w:b/>
          <w:bCs/>
          <w:sz w:val="28"/>
          <w:szCs w:val="28"/>
          <w:lang w:val="fr-FR"/>
        </w:rPr>
      </w:pPr>
    </w:p>
    <w:p w14:paraId="40586CF4" w14:textId="77777777" w:rsidR="00EA14F3" w:rsidRDefault="00EA14F3" w:rsidP="0CB676B7">
      <w:pPr>
        <w:ind w:left="360"/>
        <w:rPr>
          <w:b/>
          <w:bCs/>
          <w:sz w:val="28"/>
          <w:szCs w:val="28"/>
          <w:lang w:val="fr-FR"/>
        </w:rPr>
      </w:pPr>
    </w:p>
    <w:p w14:paraId="042802EB" w14:textId="77777777" w:rsidR="00B3766E" w:rsidRDefault="00B3766E" w:rsidP="00B3766E">
      <w:pPr>
        <w:ind w:left="360"/>
        <w:rPr>
          <w:b/>
          <w:bCs/>
          <w:sz w:val="28"/>
          <w:szCs w:val="28"/>
          <w:lang w:val="fr-FR"/>
        </w:rPr>
      </w:pPr>
      <w:bookmarkStart w:id="0" w:name="_Hlk37952855"/>
      <w:r>
        <w:rPr>
          <w:b/>
          <w:bCs/>
          <w:sz w:val="28"/>
          <w:szCs w:val="28"/>
          <w:lang w:val="fr-FR"/>
        </w:rPr>
        <w:t>Dans ce document vous trouverez les éléments suivants :</w:t>
      </w:r>
    </w:p>
    <w:p w14:paraId="6B17038A" w14:textId="77777777" w:rsidR="00B3766E" w:rsidRPr="00F45B96" w:rsidRDefault="00B3766E" w:rsidP="00B3766E">
      <w:pPr>
        <w:pStyle w:val="Paragraphedeliste"/>
        <w:numPr>
          <w:ilvl w:val="0"/>
          <w:numId w:val="7"/>
        </w:numPr>
        <w:rPr>
          <w:lang w:val="fr-FR"/>
        </w:rPr>
      </w:pPr>
      <w:r w:rsidRPr="00F45B96">
        <w:rPr>
          <w:lang w:val="fr-FR"/>
        </w:rPr>
        <w:t>Précisions en ce qui concerne les apprentissages à mettre en place avant la fin de l’année</w:t>
      </w:r>
    </w:p>
    <w:p w14:paraId="6A9CB923" w14:textId="77777777" w:rsidR="00B3766E" w:rsidRPr="00F45B96" w:rsidRDefault="00B3766E" w:rsidP="00B3766E">
      <w:pPr>
        <w:pStyle w:val="Paragraphedeliste"/>
        <w:numPr>
          <w:ilvl w:val="0"/>
          <w:numId w:val="7"/>
        </w:numPr>
        <w:rPr>
          <w:lang w:val="fr-FR"/>
        </w:rPr>
      </w:pPr>
      <w:r w:rsidRPr="00F45B96">
        <w:rPr>
          <w:lang w:val="fr-FR"/>
        </w:rPr>
        <w:t>Contacts utiles</w:t>
      </w:r>
    </w:p>
    <w:p w14:paraId="42C184B9" w14:textId="77777777" w:rsidR="00B3766E" w:rsidRPr="00021124" w:rsidRDefault="00B3766E" w:rsidP="00B3766E">
      <w:pPr>
        <w:pStyle w:val="Paragraphedeliste"/>
        <w:numPr>
          <w:ilvl w:val="0"/>
          <w:numId w:val="7"/>
        </w:numPr>
        <w:rPr>
          <w:lang w:val="fr-FR"/>
        </w:rPr>
      </w:pPr>
      <w:r w:rsidRPr="00021124">
        <w:rPr>
          <w:lang w:val="fr-FR"/>
        </w:rPr>
        <w:t>Tableau : les essentiels des apprentissages d’ici juin 2020</w:t>
      </w:r>
    </w:p>
    <w:p w14:paraId="4699DD33" w14:textId="77777777" w:rsidR="00B3766E" w:rsidRPr="00F45B96" w:rsidRDefault="00B3766E" w:rsidP="00B3766E">
      <w:pPr>
        <w:pStyle w:val="Paragraphedeliste"/>
        <w:numPr>
          <w:ilvl w:val="0"/>
          <w:numId w:val="7"/>
        </w:numPr>
        <w:rPr>
          <w:lang w:val="fr-FR"/>
        </w:rPr>
      </w:pPr>
      <w:r w:rsidRPr="00F45B96">
        <w:rPr>
          <w:lang w:val="fr-FR"/>
        </w:rPr>
        <w:t>Notes et conseils pour utiliser efficacement les situations d’apprentissage dans le cadre de cours à distance</w:t>
      </w:r>
    </w:p>
    <w:p w14:paraId="672A6659" w14:textId="77777777" w:rsidR="00B3766E" w:rsidRDefault="00B3766E" w:rsidP="00B3766E">
      <w:pPr>
        <w:ind w:left="360"/>
        <w:rPr>
          <w:b/>
          <w:bCs/>
          <w:sz w:val="28"/>
          <w:szCs w:val="28"/>
          <w:lang w:val="fr-FR"/>
        </w:rPr>
      </w:pPr>
    </w:p>
    <w:p w14:paraId="61DC9F23" w14:textId="77777777" w:rsidR="00B3766E" w:rsidRPr="00021124" w:rsidRDefault="00B3766E" w:rsidP="00B3766E">
      <w:pPr>
        <w:pStyle w:val="Paragraphedeliste"/>
        <w:numPr>
          <w:ilvl w:val="0"/>
          <w:numId w:val="4"/>
        </w:numPr>
        <w:rPr>
          <w:b/>
          <w:bCs/>
          <w:sz w:val="28"/>
          <w:szCs w:val="28"/>
          <w:lang w:val="fr-FR"/>
        </w:rPr>
      </w:pPr>
      <w:r w:rsidRPr="00021124">
        <w:rPr>
          <w:b/>
          <w:bCs/>
          <w:sz w:val="28"/>
          <w:szCs w:val="28"/>
          <w:lang w:val="fr-FR"/>
        </w:rPr>
        <w:t>Précisions en ce qui concerne les apprentissages à mettre en place avant la fin de l’année</w:t>
      </w:r>
    </w:p>
    <w:p w14:paraId="0402C311" w14:textId="77777777" w:rsidR="00B3766E" w:rsidRDefault="00B3766E" w:rsidP="00B3766E">
      <w:pPr>
        <w:rPr>
          <w:lang w:val="fr-FR"/>
        </w:rPr>
      </w:pPr>
      <w:r w:rsidRPr="2DB06B5A">
        <w:rPr>
          <w:lang w:val="fr-FR"/>
        </w:rPr>
        <w:t xml:space="preserve">Les essentiels des apprentissages résumés </w:t>
      </w:r>
      <w:r>
        <w:rPr>
          <w:lang w:val="fr-FR"/>
        </w:rPr>
        <w:t>sur la page suivante</w:t>
      </w:r>
      <w:r w:rsidRPr="2DB06B5A">
        <w:rPr>
          <w:lang w:val="fr-FR"/>
        </w:rPr>
        <w:t xml:space="preserve"> résultent d’un choix éclairé par des personnes de la </w:t>
      </w:r>
      <w:proofErr w:type="spellStart"/>
      <w:r w:rsidRPr="2DB06B5A">
        <w:rPr>
          <w:lang w:val="fr-FR"/>
        </w:rPr>
        <w:t>FESeC</w:t>
      </w:r>
      <w:proofErr w:type="spellEnd"/>
      <w:r w:rsidRPr="2DB06B5A">
        <w:rPr>
          <w:lang w:val="fr-FR"/>
        </w:rPr>
        <w:t xml:space="preserve"> qui ont l’expertise des programmes de la discipline, qui ont une vue globale du parcours d’apprentissage dans le secondaire et dans les différentes filières et qui contribuent depuis plusieurs années aux évaluations externes. Ces éléments sont donc ceux sur lesquels il faudra se focaliser d’ici la fin de l’année.</w:t>
      </w:r>
    </w:p>
    <w:p w14:paraId="1340054D" w14:textId="77777777" w:rsidR="00B3766E" w:rsidRPr="00F867E7" w:rsidRDefault="00B3766E" w:rsidP="00B3766E">
      <w:pPr>
        <w:rPr>
          <w:b/>
          <w:bCs/>
          <w:lang w:val="fr-FR"/>
        </w:rPr>
      </w:pPr>
      <w:r w:rsidRPr="00F867E7">
        <w:rPr>
          <w:b/>
          <w:bCs/>
          <w:lang w:val="fr-FR"/>
        </w:rPr>
        <w:t>Comment mettre en évidence les priorités des apprentissages d’ici la fin de l’année ?</w:t>
      </w:r>
    </w:p>
    <w:p w14:paraId="5556E370" w14:textId="77777777" w:rsidR="00B3766E" w:rsidRPr="00F867E7" w:rsidRDefault="00B3766E" w:rsidP="00B3766E">
      <w:pPr>
        <w:pStyle w:val="Paragraphedeliste"/>
        <w:numPr>
          <w:ilvl w:val="0"/>
          <w:numId w:val="5"/>
        </w:numPr>
        <w:rPr>
          <w:lang w:val="fr-FR"/>
        </w:rPr>
      </w:pPr>
      <w:r w:rsidRPr="00F867E7">
        <w:rPr>
          <w:lang w:val="fr-FR"/>
        </w:rPr>
        <w:t>Parcourez les essentiels ci-dessous et repérez ceux pour lesquels vous avez déjà pu réaliser des apprentissages avant le confinement et pour lesquels vous disposez d’informations par des évaluations.</w:t>
      </w:r>
    </w:p>
    <w:p w14:paraId="18A2153B" w14:textId="77777777" w:rsidR="00B3766E" w:rsidRDefault="00B3766E" w:rsidP="00B3766E">
      <w:pPr>
        <w:pStyle w:val="Paragraphedeliste"/>
        <w:numPr>
          <w:ilvl w:val="0"/>
          <w:numId w:val="5"/>
        </w:numPr>
        <w:rPr>
          <w:lang w:val="fr-FR"/>
        </w:rPr>
      </w:pPr>
      <w:r w:rsidRPr="00F867E7">
        <w:rPr>
          <w:lang w:val="fr-FR"/>
        </w:rPr>
        <w:t>Cochez ces éléments.</w:t>
      </w:r>
    </w:p>
    <w:p w14:paraId="7474C6F9" w14:textId="77777777" w:rsidR="00B3766E" w:rsidRDefault="00B3766E" w:rsidP="00B3766E">
      <w:pPr>
        <w:pStyle w:val="Paragraphedeliste"/>
        <w:numPr>
          <w:ilvl w:val="0"/>
          <w:numId w:val="5"/>
        </w:numPr>
        <w:rPr>
          <w:lang w:val="fr-FR"/>
        </w:rPr>
      </w:pPr>
      <w:r>
        <w:rPr>
          <w:lang w:val="fr-FR"/>
        </w:rPr>
        <w:t>Vous avez maintenant une vue des éléments qui n’ont pas encore été appris ou pour lesquels vous ne disposez pas d’information à propos du niveau de maitrise.</w:t>
      </w:r>
    </w:p>
    <w:p w14:paraId="0A37501D" w14:textId="77777777" w:rsidR="00B3766E" w:rsidRDefault="00B3766E" w:rsidP="00B3766E"/>
    <w:p w14:paraId="1EED08FE" w14:textId="77777777" w:rsidR="00B3766E" w:rsidRPr="00F45B96" w:rsidRDefault="00B3766E" w:rsidP="00B3766E">
      <w:pPr>
        <w:pStyle w:val="Paragraphedeliste"/>
        <w:numPr>
          <w:ilvl w:val="0"/>
          <w:numId w:val="4"/>
        </w:numPr>
        <w:rPr>
          <w:b/>
          <w:bCs/>
          <w:sz w:val="28"/>
          <w:szCs w:val="28"/>
          <w:lang w:val="fr-FR"/>
        </w:rPr>
      </w:pPr>
      <w:r w:rsidRPr="00F45B96">
        <w:rPr>
          <w:b/>
          <w:bCs/>
          <w:sz w:val="28"/>
          <w:szCs w:val="28"/>
          <w:lang w:val="fr-FR"/>
        </w:rPr>
        <w:t>Contacts utiles</w:t>
      </w:r>
    </w:p>
    <w:p w14:paraId="22D2A4B1" w14:textId="77777777" w:rsidR="00B3766E" w:rsidRDefault="00B3766E" w:rsidP="00B3766E">
      <w:pPr>
        <w:rPr>
          <w:lang w:val="fr-FR"/>
        </w:rPr>
      </w:pPr>
      <w:r w:rsidRPr="2DB06B5A">
        <w:rPr>
          <w:lang w:val="fr-FR"/>
        </w:rPr>
        <w:t>En cas de problème, n’hésitez pas à prendre contact</w:t>
      </w:r>
    </w:p>
    <w:p w14:paraId="27C26506" w14:textId="77777777" w:rsidR="00B3766E" w:rsidRDefault="00B3766E" w:rsidP="00B3766E">
      <w:pPr>
        <w:rPr>
          <w:lang w:val="fr-FR"/>
        </w:rPr>
      </w:pPr>
      <w:r w:rsidRPr="2DB06B5A">
        <w:rPr>
          <w:lang w:val="fr-FR"/>
        </w:rPr>
        <w:t>Prioritairement :</w:t>
      </w:r>
    </w:p>
    <w:p w14:paraId="38E17212" w14:textId="77777777" w:rsidR="00B3766E" w:rsidRDefault="00B3766E" w:rsidP="00B3766E">
      <w:pPr>
        <w:pStyle w:val="Paragraphedeliste"/>
        <w:numPr>
          <w:ilvl w:val="0"/>
          <w:numId w:val="6"/>
        </w:numPr>
        <w:rPr>
          <w:rFonts w:eastAsiaTheme="minorEastAsia"/>
          <w:lang w:val="fr-FR"/>
        </w:rPr>
      </w:pPr>
      <w:r w:rsidRPr="2DB06B5A">
        <w:rPr>
          <w:lang w:val="fr-FR"/>
        </w:rPr>
        <w:t xml:space="preserve">Pour l’EDM : </w:t>
      </w:r>
      <w:hyperlink r:id="rId11">
        <w:r w:rsidRPr="2DB06B5A">
          <w:rPr>
            <w:rStyle w:val="Lienhypertexte"/>
            <w:lang w:val="fr-FR"/>
          </w:rPr>
          <w:t>marianne.quitin@segec.be</w:t>
        </w:r>
      </w:hyperlink>
    </w:p>
    <w:p w14:paraId="10FA7DF5" w14:textId="77777777" w:rsidR="00B3766E" w:rsidRDefault="00B3766E" w:rsidP="00B3766E">
      <w:pPr>
        <w:pStyle w:val="Paragraphedeliste"/>
        <w:numPr>
          <w:ilvl w:val="0"/>
          <w:numId w:val="6"/>
        </w:numPr>
        <w:rPr>
          <w:rFonts w:eastAsiaTheme="minorEastAsia"/>
          <w:lang w:val="fr-FR"/>
        </w:rPr>
      </w:pPr>
      <w:r w:rsidRPr="2DB06B5A">
        <w:rPr>
          <w:lang w:val="fr-FR"/>
        </w:rPr>
        <w:t xml:space="preserve">Pour la formation historique et géographique (qualifiant): </w:t>
      </w:r>
      <w:r>
        <w:rPr>
          <w:lang w:val="fr-FR"/>
        </w:rPr>
        <w:br/>
      </w:r>
      <w:hyperlink r:id="rId12" w:history="1">
        <w:r w:rsidRPr="006C7ADC">
          <w:rPr>
            <w:rStyle w:val="Lienhypertexte"/>
            <w:lang w:val="fr-FR"/>
          </w:rPr>
          <w:t>axelle.delval@segec.be</w:t>
        </w:r>
      </w:hyperlink>
      <w:r w:rsidRPr="2DB06B5A">
        <w:rPr>
          <w:lang w:val="fr-FR"/>
        </w:rPr>
        <w:t xml:space="preserve"> ou </w:t>
      </w:r>
      <w:hyperlink r:id="rId13">
        <w:r w:rsidRPr="2DB06B5A">
          <w:rPr>
            <w:rStyle w:val="Lienhypertexte"/>
            <w:lang w:val="fr-FR"/>
          </w:rPr>
          <w:t>celine.demoustier@segec.be</w:t>
        </w:r>
      </w:hyperlink>
      <w:r w:rsidRPr="2DB06B5A">
        <w:rPr>
          <w:lang w:val="fr-FR"/>
        </w:rPr>
        <w:t xml:space="preserve"> </w:t>
      </w:r>
    </w:p>
    <w:p w14:paraId="34EF1BD1" w14:textId="77777777" w:rsidR="00B3766E" w:rsidRDefault="00B3766E" w:rsidP="00B3766E">
      <w:pPr>
        <w:pStyle w:val="Paragraphedeliste"/>
        <w:numPr>
          <w:ilvl w:val="0"/>
          <w:numId w:val="6"/>
        </w:numPr>
        <w:rPr>
          <w:rFonts w:eastAsiaTheme="minorEastAsia"/>
          <w:lang w:val="fr-FR"/>
        </w:rPr>
      </w:pPr>
      <w:r w:rsidRPr="2DB06B5A">
        <w:rPr>
          <w:lang w:val="fr-FR"/>
        </w:rPr>
        <w:t xml:space="preserve">Pour l’histoire : </w:t>
      </w:r>
      <w:hyperlink r:id="rId14">
        <w:r w:rsidRPr="2DB06B5A">
          <w:rPr>
            <w:rStyle w:val="Lienhypertexte"/>
            <w:lang w:val="fr-FR"/>
          </w:rPr>
          <w:t>pascale.lambrechts@segec.be</w:t>
        </w:r>
      </w:hyperlink>
      <w:r w:rsidRPr="2DB06B5A">
        <w:rPr>
          <w:lang w:val="fr-FR"/>
        </w:rPr>
        <w:t xml:space="preserve"> ou </w:t>
      </w:r>
      <w:hyperlink r:id="rId15">
        <w:r w:rsidRPr="2DB06B5A">
          <w:rPr>
            <w:rStyle w:val="Lienhypertexte"/>
            <w:lang w:val="fr-FR"/>
          </w:rPr>
          <w:t>celine.demoustier@segec.be</w:t>
        </w:r>
      </w:hyperlink>
    </w:p>
    <w:p w14:paraId="6B876C20" w14:textId="77777777" w:rsidR="00B3766E" w:rsidRDefault="00B3766E" w:rsidP="00B3766E">
      <w:pPr>
        <w:pStyle w:val="Paragraphedeliste"/>
        <w:numPr>
          <w:ilvl w:val="0"/>
          <w:numId w:val="6"/>
        </w:numPr>
        <w:rPr>
          <w:rFonts w:eastAsiaTheme="minorEastAsia"/>
          <w:lang w:val="fr-FR"/>
        </w:rPr>
      </w:pPr>
      <w:r w:rsidRPr="2DB06B5A">
        <w:rPr>
          <w:lang w:val="fr-FR"/>
        </w:rPr>
        <w:t xml:space="preserve">Pour la formation géographique : </w:t>
      </w:r>
      <w:hyperlink r:id="rId16">
        <w:r w:rsidRPr="2DB06B5A">
          <w:rPr>
            <w:rStyle w:val="Lienhypertexte"/>
            <w:lang w:val="fr-FR"/>
          </w:rPr>
          <w:t>marc.deprez@segec.be</w:t>
        </w:r>
      </w:hyperlink>
    </w:p>
    <w:bookmarkEnd w:id="0"/>
    <w:p w14:paraId="5DAB6C7B" w14:textId="77777777" w:rsidR="003B46B6" w:rsidRDefault="003B46B6">
      <w:r>
        <w:br w:type="page"/>
      </w:r>
      <w:bookmarkStart w:id="1" w:name="_GoBack"/>
      <w:bookmarkEnd w:id="1"/>
    </w:p>
    <w:p w14:paraId="517A0134" w14:textId="77777777" w:rsidR="00B3766E" w:rsidRDefault="00B3766E" w:rsidP="00B3766E">
      <w:pPr>
        <w:pStyle w:val="Paragraphedeliste"/>
        <w:numPr>
          <w:ilvl w:val="0"/>
          <w:numId w:val="4"/>
        </w:numPr>
        <w:rPr>
          <w:b/>
          <w:bCs/>
          <w:sz w:val="28"/>
          <w:szCs w:val="28"/>
          <w:lang w:val="fr-FR"/>
        </w:rPr>
      </w:pPr>
      <w:bookmarkStart w:id="2" w:name="_Hlk37952874"/>
      <w:bookmarkStart w:id="3" w:name="_Hlk37953061"/>
      <w:r w:rsidRPr="00F45B96">
        <w:rPr>
          <w:b/>
          <w:bCs/>
          <w:sz w:val="28"/>
          <w:szCs w:val="28"/>
          <w:lang w:val="fr-FR"/>
        </w:rPr>
        <w:lastRenderedPageBreak/>
        <w:t>Tableau</w:t>
      </w:r>
      <w:r>
        <w:rPr>
          <w:b/>
          <w:bCs/>
          <w:sz w:val="28"/>
          <w:szCs w:val="28"/>
          <w:lang w:val="fr-FR"/>
        </w:rPr>
        <w:t> : l</w:t>
      </w:r>
      <w:r w:rsidRPr="00F45B96">
        <w:rPr>
          <w:b/>
          <w:bCs/>
          <w:sz w:val="28"/>
          <w:szCs w:val="28"/>
          <w:lang w:val="fr-FR"/>
        </w:rPr>
        <w:t xml:space="preserve">es essentiels des apprentissages </w:t>
      </w:r>
      <w:r>
        <w:rPr>
          <w:b/>
          <w:bCs/>
          <w:sz w:val="28"/>
          <w:szCs w:val="28"/>
          <w:lang w:val="fr-FR"/>
        </w:rPr>
        <w:t>d’ici juin 2020</w:t>
      </w:r>
      <w:bookmarkEnd w:id="2"/>
    </w:p>
    <w:bookmarkEnd w:id="3"/>
    <w:p w14:paraId="28813A63" w14:textId="77777777" w:rsidR="003B46B6" w:rsidRPr="00B3766E" w:rsidRDefault="003B46B6" w:rsidP="00B3766E">
      <w:pPr>
        <w:rPr>
          <w:sz w:val="20"/>
          <w:szCs w:val="20"/>
          <w:lang w:val="fr-FR"/>
        </w:rPr>
      </w:pPr>
      <w:r w:rsidRPr="00B3766E">
        <w:rPr>
          <w:sz w:val="20"/>
          <w:szCs w:val="20"/>
          <w:lang w:val="fr-FR"/>
        </w:rPr>
        <w:t>Cochez ce qui a déjà été appris et validé, ce qui reste constitue les priorités d’ici la fin de l’année.</w:t>
      </w:r>
    </w:p>
    <w:tbl>
      <w:tblPr>
        <w:tblStyle w:val="Grilledutableau"/>
        <w:tblW w:w="10206" w:type="dxa"/>
        <w:tblInd w:w="-572" w:type="dxa"/>
        <w:tblLook w:val="04A0" w:firstRow="1" w:lastRow="0" w:firstColumn="1" w:lastColumn="0" w:noHBand="0" w:noVBand="1"/>
      </w:tblPr>
      <w:tblGrid>
        <w:gridCol w:w="1507"/>
        <w:gridCol w:w="3455"/>
        <w:gridCol w:w="5244"/>
      </w:tblGrid>
      <w:tr w:rsidR="00B60F94" w14:paraId="7D21A52B" w14:textId="77777777" w:rsidTr="00B60F94">
        <w:tc>
          <w:tcPr>
            <w:tcW w:w="1507" w:type="dxa"/>
            <w:shd w:val="clear" w:color="auto" w:fill="D9D9D9" w:themeFill="background1" w:themeFillShade="D9"/>
          </w:tcPr>
          <w:p w14:paraId="02EB378F" w14:textId="77777777" w:rsidR="00B60F94" w:rsidRPr="00A22C90" w:rsidRDefault="00B60F94" w:rsidP="00F60A88">
            <w:pPr>
              <w:rPr>
                <w:sz w:val="20"/>
                <w:szCs w:val="20"/>
                <w:lang w:val="fr-FR"/>
              </w:rPr>
            </w:pPr>
          </w:p>
        </w:tc>
        <w:tc>
          <w:tcPr>
            <w:tcW w:w="3455" w:type="dxa"/>
            <w:shd w:val="clear" w:color="auto" w:fill="D9D9D9" w:themeFill="background1" w:themeFillShade="D9"/>
          </w:tcPr>
          <w:p w14:paraId="2BD0655E" w14:textId="77777777" w:rsidR="00B60F94" w:rsidRPr="00A22C90" w:rsidRDefault="00B60F94" w:rsidP="00F60A88">
            <w:pPr>
              <w:rPr>
                <w:sz w:val="20"/>
                <w:szCs w:val="20"/>
                <w:lang w:val="fr-FR"/>
              </w:rPr>
            </w:pPr>
            <w:r w:rsidRPr="00A22C90">
              <w:rPr>
                <w:sz w:val="20"/>
                <w:szCs w:val="20"/>
                <w:lang w:val="fr-FR"/>
              </w:rPr>
              <w:t>Compétences et savoir-faire</w:t>
            </w:r>
          </w:p>
        </w:tc>
        <w:tc>
          <w:tcPr>
            <w:tcW w:w="5244" w:type="dxa"/>
            <w:shd w:val="clear" w:color="auto" w:fill="D9D9D9" w:themeFill="background1" w:themeFillShade="D9"/>
          </w:tcPr>
          <w:p w14:paraId="49916AD2" w14:textId="77777777" w:rsidR="00B60F94" w:rsidRPr="00A22C90" w:rsidRDefault="00B60F94" w:rsidP="00F60A88">
            <w:pPr>
              <w:rPr>
                <w:sz w:val="20"/>
                <w:szCs w:val="20"/>
                <w:lang w:val="fr-FR"/>
              </w:rPr>
            </w:pPr>
            <w:r w:rsidRPr="00A22C90">
              <w:rPr>
                <w:sz w:val="20"/>
                <w:szCs w:val="20"/>
                <w:lang w:val="fr-FR"/>
              </w:rPr>
              <w:t>Types de productions attendues</w:t>
            </w:r>
          </w:p>
        </w:tc>
      </w:tr>
      <w:tr w:rsidR="00B60F94" w14:paraId="5E693E82" w14:textId="77777777" w:rsidTr="00B60F94">
        <w:tc>
          <w:tcPr>
            <w:tcW w:w="1507" w:type="dxa"/>
          </w:tcPr>
          <w:p w14:paraId="4F6C663E" w14:textId="77777777" w:rsidR="00B60F94" w:rsidRPr="00A22C90" w:rsidRDefault="00B60F94" w:rsidP="00F60A88">
            <w:pPr>
              <w:rPr>
                <w:sz w:val="20"/>
                <w:szCs w:val="20"/>
                <w:lang w:val="fr-FR"/>
              </w:rPr>
            </w:pPr>
            <w:r w:rsidRPr="006105C8">
              <w:rPr>
                <w:b/>
                <w:bCs/>
                <w:sz w:val="20"/>
                <w:szCs w:val="20"/>
                <w:lang w:val="fr-FR"/>
              </w:rPr>
              <w:t>Ce que l’élève peut faire comme analyse spatiale sur des cas nouveaux</w:t>
            </w:r>
            <w:r>
              <w:rPr>
                <w:sz w:val="20"/>
                <w:szCs w:val="20"/>
                <w:lang w:val="fr-FR"/>
              </w:rPr>
              <w:t xml:space="preserve"> </w:t>
            </w:r>
          </w:p>
        </w:tc>
        <w:tc>
          <w:tcPr>
            <w:tcW w:w="3455" w:type="dxa"/>
          </w:tcPr>
          <w:p w14:paraId="51E96C0B" w14:textId="77777777" w:rsidR="00B60F94" w:rsidRDefault="00B60F94" w:rsidP="00F60A88">
            <w:pPr>
              <w:ind w:left="-75"/>
              <w:rPr>
                <w:sz w:val="20"/>
                <w:szCs w:val="20"/>
                <w:lang w:val="fr-FR"/>
              </w:rPr>
            </w:pPr>
            <w:r w:rsidRPr="0026441E">
              <w:rPr>
                <w:sz w:val="20"/>
                <w:szCs w:val="20"/>
                <w:lang w:val="fr-FR"/>
              </w:rPr>
              <w:t xml:space="preserve">Les </w:t>
            </w:r>
            <w:r>
              <w:rPr>
                <w:sz w:val="20"/>
                <w:szCs w:val="20"/>
                <w:lang w:val="fr-FR"/>
              </w:rPr>
              <w:t>compétences</w:t>
            </w:r>
            <w:r w:rsidRPr="0026441E">
              <w:rPr>
                <w:sz w:val="20"/>
                <w:szCs w:val="20"/>
                <w:lang w:val="fr-FR"/>
              </w:rPr>
              <w:t xml:space="preserve"> spécifiques de la 5</w:t>
            </w:r>
            <w:r w:rsidRPr="0026441E">
              <w:rPr>
                <w:sz w:val="20"/>
                <w:szCs w:val="20"/>
                <w:vertAlign w:val="superscript"/>
                <w:lang w:val="fr-FR"/>
              </w:rPr>
              <w:t>e</w:t>
            </w:r>
            <w:r w:rsidRPr="0026441E">
              <w:rPr>
                <w:sz w:val="20"/>
                <w:szCs w:val="20"/>
                <w:lang w:val="fr-FR"/>
              </w:rPr>
              <w:t xml:space="preserve"> année portent sur la mobilisation de </w:t>
            </w:r>
            <w:r>
              <w:rPr>
                <w:sz w:val="20"/>
                <w:szCs w:val="20"/>
                <w:lang w:val="fr-FR"/>
              </w:rPr>
              <w:t>la</w:t>
            </w:r>
            <w:r w:rsidRPr="0026441E">
              <w:rPr>
                <w:sz w:val="20"/>
                <w:szCs w:val="20"/>
                <w:lang w:val="fr-FR"/>
              </w:rPr>
              <w:t xml:space="preserve"> démarche géographique </w:t>
            </w:r>
            <w:r>
              <w:rPr>
                <w:sz w:val="20"/>
                <w:szCs w:val="20"/>
                <w:lang w:val="fr-FR"/>
              </w:rPr>
              <w:t>(décrire et comparer des répartitions spatiales, voir en 3</w:t>
            </w:r>
            <w:r w:rsidRPr="007D4804">
              <w:rPr>
                <w:sz w:val="20"/>
                <w:szCs w:val="20"/>
                <w:vertAlign w:val="superscript"/>
                <w:lang w:val="fr-FR"/>
              </w:rPr>
              <w:t>e</w:t>
            </w:r>
            <w:r>
              <w:rPr>
                <w:sz w:val="20"/>
                <w:szCs w:val="20"/>
                <w:lang w:val="fr-FR"/>
              </w:rPr>
              <w:t xml:space="preserve"> année) </w:t>
            </w:r>
            <w:r w:rsidRPr="0026441E">
              <w:rPr>
                <w:sz w:val="20"/>
                <w:szCs w:val="20"/>
                <w:lang w:val="fr-FR"/>
              </w:rPr>
              <w:t xml:space="preserve">pour éclairer </w:t>
            </w:r>
            <w:r>
              <w:rPr>
                <w:sz w:val="20"/>
                <w:szCs w:val="20"/>
                <w:lang w:val="fr-FR"/>
              </w:rPr>
              <w:t>des enjeux (résumés par des concepts)</w:t>
            </w:r>
          </w:p>
          <w:p w14:paraId="3C390E5D" w14:textId="77777777" w:rsidR="00B60F94" w:rsidRPr="007B2481" w:rsidRDefault="00B60F94" w:rsidP="00B60F94">
            <w:pPr>
              <w:pStyle w:val="Paragraphedeliste"/>
              <w:numPr>
                <w:ilvl w:val="0"/>
                <w:numId w:val="3"/>
              </w:numPr>
              <w:rPr>
                <w:sz w:val="20"/>
                <w:szCs w:val="20"/>
                <w:lang w:val="fr-FR"/>
              </w:rPr>
            </w:pPr>
            <w:r w:rsidRPr="007B2481">
              <w:rPr>
                <w:sz w:val="20"/>
                <w:szCs w:val="20"/>
                <w:lang w:val="fr-FR"/>
              </w:rPr>
              <w:t>Migration</w:t>
            </w:r>
          </w:p>
          <w:p w14:paraId="0E6FD735" w14:textId="77777777" w:rsidR="00B60F94" w:rsidRPr="007B2481" w:rsidRDefault="00B60F94" w:rsidP="00B60F94">
            <w:pPr>
              <w:pStyle w:val="Paragraphedeliste"/>
              <w:numPr>
                <w:ilvl w:val="0"/>
                <w:numId w:val="3"/>
              </w:numPr>
              <w:rPr>
                <w:sz w:val="20"/>
                <w:szCs w:val="20"/>
                <w:lang w:val="fr-FR"/>
              </w:rPr>
            </w:pPr>
            <w:r w:rsidRPr="007B2481">
              <w:rPr>
                <w:sz w:val="20"/>
                <w:szCs w:val="20"/>
                <w:lang w:val="fr-FR"/>
              </w:rPr>
              <w:t>Mondialisation</w:t>
            </w:r>
          </w:p>
          <w:p w14:paraId="01AF10F1" w14:textId="77777777" w:rsidR="00B60F94" w:rsidRPr="007B2481" w:rsidRDefault="00B60F94" w:rsidP="00B60F94">
            <w:pPr>
              <w:pStyle w:val="Paragraphedeliste"/>
              <w:numPr>
                <w:ilvl w:val="0"/>
                <w:numId w:val="3"/>
              </w:numPr>
              <w:rPr>
                <w:sz w:val="20"/>
                <w:szCs w:val="20"/>
                <w:lang w:val="fr-FR"/>
              </w:rPr>
            </w:pPr>
            <w:r w:rsidRPr="007B2481">
              <w:rPr>
                <w:sz w:val="20"/>
                <w:szCs w:val="20"/>
                <w:lang w:val="fr-FR"/>
              </w:rPr>
              <w:t>Vulnérabilité/potentialité</w:t>
            </w:r>
          </w:p>
          <w:p w14:paraId="6A421720" w14:textId="77777777" w:rsidR="00B60F94" w:rsidRPr="007B2481" w:rsidRDefault="00B60F94" w:rsidP="00B60F94">
            <w:pPr>
              <w:pStyle w:val="Paragraphedeliste"/>
              <w:numPr>
                <w:ilvl w:val="0"/>
                <w:numId w:val="3"/>
              </w:numPr>
              <w:rPr>
                <w:sz w:val="20"/>
                <w:szCs w:val="20"/>
                <w:lang w:val="fr-FR"/>
              </w:rPr>
            </w:pPr>
            <w:r w:rsidRPr="007B2481">
              <w:rPr>
                <w:sz w:val="20"/>
                <w:szCs w:val="20"/>
                <w:lang w:val="fr-FR"/>
              </w:rPr>
              <w:t>Développement</w:t>
            </w:r>
          </w:p>
          <w:p w14:paraId="03E1E9EA" w14:textId="77777777" w:rsidR="00B60F94" w:rsidRPr="007B2481" w:rsidRDefault="00B60F94" w:rsidP="00B60F94">
            <w:pPr>
              <w:pStyle w:val="Paragraphedeliste"/>
              <w:numPr>
                <w:ilvl w:val="0"/>
                <w:numId w:val="3"/>
              </w:numPr>
              <w:rPr>
                <w:sz w:val="20"/>
                <w:szCs w:val="20"/>
                <w:lang w:val="fr-FR"/>
              </w:rPr>
            </w:pPr>
            <w:r w:rsidRPr="007B2481">
              <w:rPr>
                <w:sz w:val="20"/>
                <w:szCs w:val="20"/>
                <w:lang w:val="fr-FR"/>
              </w:rPr>
              <w:t>Développement durable</w:t>
            </w:r>
          </w:p>
          <w:p w14:paraId="6A05A809" w14:textId="77777777" w:rsidR="00B60F94" w:rsidRPr="00A22C90" w:rsidRDefault="00B60F94" w:rsidP="00F60A88">
            <w:pPr>
              <w:ind w:left="-75"/>
              <w:rPr>
                <w:sz w:val="20"/>
                <w:szCs w:val="20"/>
                <w:lang w:val="fr-FR"/>
              </w:rPr>
            </w:pPr>
          </w:p>
        </w:tc>
        <w:tc>
          <w:tcPr>
            <w:tcW w:w="5244" w:type="dxa"/>
          </w:tcPr>
          <w:p w14:paraId="487B6C6F" w14:textId="77777777" w:rsidR="00B60F94" w:rsidRPr="007B2481" w:rsidRDefault="00B60F94" w:rsidP="00F60A88">
            <w:pPr>
              <w:rPr>
                <w:i/>
                <w:iCs/>
                <w:sz w:val="20"/>
                <w:szCs w:val="20"/>
                <w:lang w:val="fr-FR"/>
              </w:rPr>
            </w:pPr>
            <w:r w:rsidRPr="007B2481">
              <w:rPr>
                <w:sz w:val="20"/>
                <w:szCs w:val="20"/>
                <w:lang w:val="fr-FR"/>
              </w:rPr>
              <w:t>Celles prévues au 2</w:t>
            </w:r>
            <w:r w:rsidRPr="007B2481">
              <w:rPr>
                <w:sz w:val="20"/>
                <w:szCs w:val="20"/>
                <w:vertAlign w:val="superscript"/>
                <w:lang w:val="fr-FR"/>
              </w:rPr>
              <w:t>e</w:t>
            </w:r>
            <w:r w:rsidRPr="007B2481">
              <w:rPr>
                <w:sz w:val="20"/>
                <w:szCs w:val="20"/>
                <w:lang w:val="fr-FR"/>
              </w:rPr>
              <w:t xml:space="preserve"> degré +</w:t>
            </w:r>
          </w:p>
          <w:p w14:paraId="2D5DE2A3" w14:textId="77777777" w:rsidR="00B60F94" w:rsidRDefault="00B60F94" w:rsidP="00F60A88">
            <w:pPr>
              <w:rPr>
                <w:sz w:val="20"/>
                <w:szCs w:val="20"/>
                <w:lang w:val="fr-FR"/>
              </w:rPr>
            </w:pPr>
            <w:r>
              <w:rPr>
                <w:rFonts w:ascii="Wingdings" w:eastAsia="Wingdings" w:hAnsi="Wingdings" w:cs="Wingdings"/>
                <w:lang w:val="fr-FR"/>
              </w:rPr>
              <w:t></w:t>
            </w:r>
            <w:r w:rsidRPr="001A1ED7">
              <w:rPr>
                <w:sz w:val="20"/>
                <w:szCs w:val="20"/>
                <w:lang w:val="fr-FR"/>
              </w:rPr>
              <w:t xml:space="preserve"> Illustrer le concept de migration en caractérisant des flux de population (direction et intensité) en lien avec l’inégale répartition des populations et des ressources.</w:t>
            </w:r>
          </w:p>
          <w:p w14:paraId="0180D956" w14:textId="77777777" w:rsidR="00B60F94" w:rsidRPr="00B60F94" w:rsidRDefault="00EA14F3" w:rsidP="00F60A88">
            <w:pPr>
              <w:pStyle w:val="Paragraphedeliste"/>
              <w:numPr>
                <w:ilvl w:val="0"/>
                <w:numId w:val="1"/>
              </w:numPr>
              <w:jc w:val="right"/>
              <w:rPr>
                <w:sz w:val="20"/>
                <w:szCs w:val="20"/>
                <w:lang w:val="fr-FR"/>
              </w:rPr>
            </w:pPr>
            <w:hyperlink r:id="rId17" w:history="1">
              <w:r w:rsidR="00B60F94" w:rsidRPr="00327140">
                <w:rPr>
                  <w:rStyle w:val="Lienhypertexte"/>
                  <w:sz w:val="20"/>
                  <w:szCs w:val="20"/>
                  <w:lang w:val="fr-FR"/>
                </w:rPr>
                <w:t>Mouvements de personnes et conditions de vie</w:t>
              </w:r>
            </w:hyperlink>
          </w:p>
          <w:p w14:paraId="2E9BCE5F" w14:textId="77777777" w:rsidR="00B60F94" w:rsidRDefault="00B60F94" w:rsidP="00F60A88">
            <w:pPr>
              <w:rPr>
                <w:sz w:val="20"/>
                <w:szCs w:val="20"/>
                <w:lang w:val="fr-FR"/>
              </w:rPr>
            </w:pPr>
            <w:r>
              <w:rPr>
                <w:rFonts w:ascii="Wingdings" w:eastAsia="Wingdings" w:hAnsi="Wingdings" w:cs="Wingdings"/>
                <w:lang w:val="fr-FR"/>
              </w:rPr>
              <w:t></w:t>
            </w:r>
            <w:r w:rsidRPr="001A1ED7">
              <w:rPr>
                <w:sz w:val="20"/>
                <w:szCs w:val="20"/>
                <w:lang w:val="fr-FR"/>
              </w:rPr>
              <w:t xml:space="preserve"> Illustrer le concept de mondialisation en caractérisant des flux de ressources (direction et intensité) en lien avec l’inégale répartition des populations et des ressources.</w:t>
            </w:r>
          </w:p>
          <w:p w14:paraId="1AD8B8CB" w14:textId="77777777" w:rsidR="00B60F94" w:rsidRPr="00B60F94" w:rsidRDefault="00EA14F3" w:rsidP="00F60A88">
            <w:pPr>
              <w:pStyle w:val="Paragraphedeliste"/>
              <w:numPr>
                <w:ilvl w:val="0"/>
                <w:numId w:val="1"/>
              </w:numPr>
              <w:jc w:val="right"/>
              <w:rPr>
                <w:sz w:val="20"/>
                <w:szCs w:val="20"/>
                <w:lang w:val="fr-FR"/>
              </w:rPr>
            </w:pPr>
            <w:hyperlink r:id="rId18" w:history="1">
              <w:r w:rsidR="00B60F94" w:rsidRPr="00327140">
                <w:rPr>
                  <w:rStyle w:val="Lienhypertexte"/>
                  <w:sz w:val="20"/>
                  <w:szCs w:val="20"/>
                  <w:lang w:val="fr-FR"/>
                </w:rPr>
                <w:t>Le cas de l'Europe et de l'Amérique latine</w:t>
              </w:r>
            </w:hyperlink>
          </w:p>
          <w:p w14:paraId="39262AD1" w14:textId="77777777" w:rsidR="00B60F94" w:rsidRDefault="00B60F94" w:rsidP="00F60A88">
            <w:pPr>
              <w:rPr>
                <w:sz w:val="20"/>
                <w:szCs w:val="20"/>
                <w:lang w:val="fr-FR"/>
              </w:rPr>
            </w:pPr>
            <w:r>
              <w:rPr>
                <w:rFonts w:ascii="Wingdings" w:eastAsia="Wingdings" w:hAnsi="Wingdings" w:cs="Wingdings"/>
                <w:lang w:val="fr-FR"/>
              </w:rPr>
              <w:t></w:t>
            </w:r>
            <w:r w:rsidRPr="001A1ED7">
              <w:rPr>
                <w:sz w:val="20"/>
                <w:szCs w:val="20"/>
                <w:lang w:val="fr-FR"/>
              </w:rPr>
              <w:t xml:space="preserve"> Illustrer les concepts de vulnérabilité/potentialité en caractérisant l’évolution d’une composante de l’espace</w:t>
            </w:r>
          </w:p>
          <w:p w14:paraId="58FA86BE" w14:textId="77777777" w:rsidR="00B60F94" w:rsidRPr="00B60F94" w:rsidRDefault="00EA14F3" w:rsidP="00F60A88">
            <w:pPr>
              <w:pStyle w:val="Paragraphedeliste"/>
              <w:numPr>
                <w:ilvl w:val="0"/>
                <w:numId w:val="1"/>
              </w:numPr>
              <w:jc w:val="right"/>
              <w:rPr>
                <w:sz w:val="20"/>
                <w:szCs w:val="20"/>
                <w:lang w:val="fr-FR"/>
              </w:rPr>
            </w:pPr>
            <w:hyperlink r:id="rId19" w:history="1">
              <w:r w:rsidR="00B60F94" w:rsidRPr="00327140">
                <w:rPr>
                  <w:rStyle w:val="Lienhypertexte"/>
                  <w:sz w:val="20"/>
                  <w:szCs w:val="20"/>
                  <w:lang w:val="fr-FR"/>
                </w:rPr>
                <w:t>Le cas du Covid-19</w:t>
              </w:r>
            </w:hyperlink>
          </w:p>
          <w:p w14:paraId="58462204" w14:textId="77777777" w:rsidR="00B60F94" w:rsidRDefault="00B60F94" w:rsidP="00F60A88">
            <w:pPr>
              <w:rPr>
                <w:sz w:val="20"/>
                <w:szCs w:val="20"/>
                <w:lang w:val="fr-FR"/>
              </w:rPr>
            </w:pPr>
            <w:r>
              <w:rPr>
                <w:rFonts w:ascii="Wingdings" w:eastAsia="Wingdings" w:hAnsi="Wingdings" w:cs="Wingdings"/>
                <w:lang w:val="fr-FR"/>
              </w:rPr>
              <w:t></w:t>
            </w:r>
            <w:r w:rsidRPr="001A1ED7">
              <w:rPr>
                <w:sz w:val="20"/>
                <w:szCs w:val="20"/>
                <w:lang w:val="fr-FR"/>
              </w:rPr>
              <w:t xml:space="preserve"> Illustrer les concepts de développement et/ou de développement durable en caractérisant des aménagements en lien avec la vulnérabilité d’un territoire face à un aléa</w:t>
            </w:r>
          </w:p>
          <w:p w14:paraId="694A9A5F" w14:textId="77777777" w:rsidR="00B60F94" w:rsidRPr="00B60F94" w:rsidRDefault="00EA14F3" w:rsidP="00B60F94">
            <w:pPr>
              <w:pStyle w:val="Paragraphedeliste"/>
              <w:numPr>
                <w:ilvl w:val="0"/>
                <w:numId w:val="1"/>
              </w:numPr>
              <w:jc w:val="right"/>
              <w:rPr>
                <w:sz w:val="20"/>
                <w:szCs w:val="20"/>
              </w:rPr>
            </w:pPr>
            <w:hyperlink r:id="rId20" w:history="1">
              <w:r w:rsidR="00B60F94" w:rsidRPr="00B60F94">
                <w:rPr>
                  <w:rStyle w:val="Lienhypertexte"/>
                  <w:sz w:val="20"/>
                  <w:szCs w:val="20"/>
                </w:rPr>
                <w:t>Le cas des barrages miniers</w:t>
              </w:r>
            </w:hyperlink>
          </w:p>
          <w:p w14:paraId="3EE888E7" w14:textId="77777777" w:rsidR="00B60F94" w:rsidRPr="001A1ED7" w:rsidRDefault="00B60F94" w:rsidP="00F60A88">
            <w:pPr>
              <w:rPr>
                <w:sz w:val="20"/>
                <w:szCs w:val="20"/>
                <w:lang w:val="fr-FR"/>
              </w:rPr>
            </w:pPr>
            <w:r>
              <w:rPr>
                <w:rFonts w:ascii="Wingdings" w:eastAsia="Wingdings" w:hAnsi="Wingdings" w:cs="Wingdings"/>
                <w:lang w:val="fr-FR"/>
              </w:rPr>
              <w:t></w:t>
            </w:r>
            <w:r w:rsidRPr="001A1ED7">
              <w:rPr>
                <w:sz w:val="20"/>
                <w:szCs w:val="20"/>
                <w:lang w:val="fr-FR"/>
              </w:rPr>
              <w:t xml:space="preserve"> Identifier des espaces à risque en se référant à un modèle spatial.</w:t>
            </w:r>
          </w:p>
        </w:tc>
      </w:tr>
      <w:tr w:rsidR="00B60F94" w14:paraId="0D49A4FF" w14:textId="77777777" w:rsidTr="00B60F94">
        <w:tc>
          <w:tcPr>
            <w:tcW w:w="1507" w:type="dxa"/>
            <w:shd w:val="clear" w:color="auto" w:fill="D9D9D9" w:themeFill="background1" w:themeFillShade="D9"/>
          </w:tcPr>
          <w:p w14:paraId="5A39BBE3" w14:textId="77777777" w:rsidR="00B60F94" w:rsidRPr="00A22C90" w:rsidRDefault="00B60F94" w:rsidP="00F60A88">
            <w:pPr>
              <w:rPr>
                <w:sz w:val="20"/>
                <w:szCs w:val="20"/>
                <w:lang w:val="fr-FR"/>
              </w:rPr>
            </w:pPr>
          </w:p>
        </w:tc>
        <w:tc>
          <w:tcPr>
            <w:tcW w:w="3455" w:type="dxa"/>
            <w:shd w:val="clear" w:color="auto" w:fill="D9D9D9" w:themeFill="background1" w:themeFillShade="D9"/>
          </w:tcPr>
          <w:p w14:paraId="047BBA30" w14:textId="77777777" w:rsidR="00B60F94" w:rsidRPr="00A22C90" w:rsidRDefault="00B60F94" w:rsidP="00F60A88">
            <w:pPr>
              <w:rPr>
                <w:sz w:val="20"/>
                <w:szCs w:val="20"/>
              </w:rPr>
            </w:pPr>
            <w:r w:rsidRPr="00A22C90">
              <w:rPr>
                <w:sz w:val="20"/>
                <w:szCs w:val="20"/>
              </w:rPr>
              <w:t>Savoirs</w:t>
            </w:r>
          </w:p>
        </w:tc>
        <w:tc>
          <w:tcPr>
            <w:tcW w:w="5244" w:type="dxa"/>
            <w:shd w:val="clear" w:color="auto" w:fill="D9D9D9" w:themeFill="background1" w:themeFillShade="D9"/>
          </w:tcPr>
          <w:p w14:paraId="5BD85544" w14:textId="77777777" w:rsidR="00B60F94" w:rsidRPr="00A22C90" w:rsidRDefault="00B60F94" w:rsidP="00F60A88">
            <w:pPr>
              <w:rPr>
                <w:sz w:val="20"/>
                <w:szCs w:val="20"/>
                <w:lang w:val="fr-FR"/>
              </w:rPr>
            </w:pPr>
            <w:r w:rsidRPr="00A22C90">
              <w:rPr>
                <w:sz w:val="20"/>
                <w:szCs w:val="20"/>
                <w:lang w:val="fr-FR"/>
              </w:rPr>
              <w:t>Attendus</w:t>
            </w:r>
          </w:p>
        </w:tc>
      </w:tr>
      <w:tr w:rsidR="00B60F94" w14:paraId="6C38C6B2" w14:textId="77777777" w:rsidTr="00B60F94">
        <w:tc>
          <w:tcPr>
            <w:tcW w:w="1507" w:type="dxa"/>
            <w:vMerge w:val="restart"/>
            <w:vAlign w:val="center"/>
          </w:tcPr>
          <w:p w14:paraId="5C89A43B" w14:textId="77777777" w:rsidR="00B60F94" w:rsidRPr="00A44F44" w:rsidRDefault="00B60F94" w:rsidP="00F60A88">
            <w:pPr>
              <w:jc w:val="center"/>
              <w:rPr>
                <w:b/>
                <w:bCs/>
                <w:sz w:val="20"/>
                <w:szCs w:val="20"/>
                <w:lang w:val="fr-FR"/>
              </w:rPr>
            </w:pPr>
            <w:r w:rsidRPr="00A44F44">
              <w:rPr>
                <w:b/>
                <w:bCs/>
                <w:sz w:val="20"/>
                <w:szCs w:val="20"/>
                <w:lang w:val="fr-FR"/>
              </w:rPr>
              <w:t>Répartitions spatiales / repères spatiaux</w:t>
            </w:r>
          </w:p>
        </w:tc>
        <w:tc>
          <w:tcPr>
            <w:tcW w:w="3455" w:type="dxa"/>
          </w:tcPr>
          <w:p w14:paraId="431F4D87" w14:textId="77777777" w:rsidR="00B60F94" w:rsidRPr="00387F6B" w:rsidRDefault="00B60F94" w:rsidP="00F60A88">
            <w:pPr>
              <w:rPr>
                <w:i/>
                <w:iCs/>
                <w:sz w:val="20"/>
                <w:szCs w:val="20"/>
                <w:lang w:val="fr-FR"/>
              </w:rPr>
            </w:pPr>
            <w:r w:rsidRPr="00387F6B">
              <w:rPr>
                <w:i/>
                <w:iCs/>
                <w:sz w:val="20"/>
                <w:szCs w:val="20"/>
                <w:lang w:val="fr-FR"/>
              </w:rPr>
              <w:t>Réactiver, aux échelles mondiale et continentale :</w:t>
            </w:r>
          </w:p>
          <w:p w14:paraId="54570CD6" w14:textId="77777777" w:rsidR="00B60F94" w:rsidRPr="00387F6B" w:rsidRDefault="00B60F94" w:rsidP="00F60A88">
            <w:pPr>
              <w:rPr>
                <w:i/>
                <w:iCs/>
                <w:sz w:val="20"/>
                <w:szCs w:val="20"/>
                <w:lang w:val="fr-FR"/>
              </w:rPr>
            </w:pPr>
            <w:r w:rsidRPr="00387F6B">
              <w:rPr>
                <w:i/>
                <w:iCs/>
                <w:sz w:val="20"/>
                <w:szCs w:val="20"/>
                <w:lang w:val="fr-FR"/>
              </w:rPr>
              <w:t xml:space="preserve">- </w:t>
            </w:r>
            <w:hyperlink r:id="rId21" w:history="1">
              <w:r w:rsidRPr="00387F6B">
                <w:rPr>
                  <w:i/>
                  <w:iCs/>
                  <w:sz w:val="20"/>
                  <w:szCs w:val="20"/>
                  <w:lang w:val="fr-FR"/>
                </w:rPr>
                <w:t>les principaux espaces peuplés et peu peuplés</w:t>
              </w:r>
            </w:hyperlink>
          </w:p>
          <w:p w14:paraId="47ED6BBE" w14:textId="77777777" w:rsidR="00B60F94" w:rsidRPr="00387F6B" w:rsidRDefault="00B60F94" w:rsidP="00F60A88">
            <w:pPr>
              <w:rPr>
                <w:i/>
                <w:iCs/>
                <w:sz w:val="20"/>
                <w:szCs w:val="20"/>
                <w:lang w:val="fr-FR"/>
              </w:rPr>
            </w:pPr>
            <w:r w:rsidRPr="00387F6B">
              <w:rPr>
                <w:i/>
                <w:iCs/>
                <w:sz w:val="20"/>
                <w:szCs w:val="20"/>
                <w:lang w:val="fr-FR"/>
              </w:rPr>
              <w:t>- les principaux ensembles orohydrographiques</w:t>
            </w:r>
          </w:p>
          <w:p w14:paraId="7D3B3ED0" w14:textId="77777777" w:rsidR="00B60F94" w:rsidRDefault="00B60F94" w:rsidP="00F60A88">
            <w:pPr>
              <w:rPr>
                <w:i/>
                <w:iCs/>
                <w:sz w:val="20"/>
                <w:szCs w:val="20"/>
                <w:lang w:val="fr-FR"/>
              </w:rPr>
            </w:pPr>
            <w:r w:rsidRPr="00387F6B">
              <w:rPr>
                <w:i/>
                <w:iCs/>
                <w:sz w:val="20"/>
                <w:szCs w:val="20"/>
                <w:lang w:val="fr-FR"/>
              </w:rPr>
              <w:t>- les principaux ensembles bioclimatiques</w:t>
            </w:r>
          </w:p>
          <w:p w14:paraId="1D9616CD" w14:textId="77777777" w:rsidR="00B60F94" w:rsidRDefault="00B60F94" w:rsidP="00F60A88">
            <w:pPr>
              <w:rPr>
                <w:i/>
                <w:iCs/>
                <w:sz w:val="20"/>
                <w:szCs w:val="20"/>
                <w:lang w:val="fr-FR"/>
              </w:rPr>
            </w:pPr>
            <w:r>
              <w:rPr>
                <w:i/>
                <w:iCs/>
                <w:sz w:val="20"/>
                <w:szCs w:val="20"/>
                <w:lang w:val="fr-FR"/>
              </w:rPr>
              <w:t>+</w:t>
            </w:r>
          </w:p>
          <w:p w14:paraId="486CFA5B" w14:textId="77777777" w:rsidR="00B60F94" w:rsidRPr="00A22C90" w:rsidRDefault="00B60F94" w:rsidP="00F60A88">
            <w:pPr>
              <w:rPr>
                <w:sz w:val="20"/>
                <w:szCs w:val="20"/>
                <w:lang w:val="fr-FR"/>
              </w:rPr>
            </w:pPr>
            <w:r>
              <w:rPr>
                <w:sz w:val="20"/>
                <w:szCs w:val="20"/>
                <w:lang w:val="fr-FR"/>
              </w:rPr>
              <w:t>L</w:t>
            </w:r>
            <w:r w:rsidRPr="00387F6B">
              <w:rPr>
                <w:sz w:val="20"/>
                <w:szCs w:val="20"/>
                <w:lang w:val="fr-FR"/>
              </w:rPr>
              <w:t>es principaux ensembles orohydrographiques</w:t>
            </w:r>
          </w:p>
        </w:tc>
        <w:tc>
          <w:tcPr>
            <w:tcW w:w="5244" w:type="dxa"/>
          </w:tcPr>
          <w:p w14:paraId="2DC2E9F2" w14:textId="77777777" w:rsidR="00B60F94" w:rsidRPr="00387F6B" w:rsidRDefault="00B60F94" w:rsidP="00F60A88">
            <w:pPr>
              <w:rPr>
                <w:sz w:val="18"/>
                <w:szCs w:val="18"/>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L</w:t>
            </w:r>
            <w:r w:rsidRPr="00387F6B">
              <w:rPr>
                <w:sz w:val="20"/>
                <w:szCs w:val="20"/>
                <w:lang w:val="fr-FR"/>
              </w:rPr>
              <w:t>’élève peut représenter schématiquement les principaux reliefs sur une carte vierge et les nommer</w:t>
            </w:r>
            <w:r>
              <w:rPr>
                <w:sz w:val="20"/>
                <w:szCs w:val="20"/>
                <w:lang w:val="fr-FR"/>
              </w:rPr>
              <w:t xml:space="preserve"> </w:t>
            </w:r>
            <w:r w:rsidRPr="00387F6B">
              <w:rPr>
                <w:sz w:val="20"/>
                <w:szCs w:val="20"/>
                <w:lang w:val="fr-FR"/>
              </w:rPr>
              <w:t>:</w:t>
            </w:r>
            <w:r>
              <w:rPr>
                <w:sz w:val="20"/>
                <w:szCs w:val="20"/>
                <w:lang w:val="fr-FR"/>
              </w:rPr>
              <w:t xml:space="preserve"> </w:t>
            </w:r>
            <w:r w:rsidRPr="00387F6B">
              <w:rPr>
                <w:sz w:val="18"/>
                <w:szCs w:val="18"/>
                <w:lang w:val="fr-FR"/>
              </w:rPr>
              <w:t>Alpes, Pyrénées, plaines de l’Ouest et du Nord, Oural.</w:t>
            </w:r>
          </w:p>
          <w:p w14:paraId="17BEC647" w14:textId="77777777" w:rsidR="00B60F94" w:rsidRPr="00387F6B" w:rsidRDefault="00B60F94" w:rsidP="00F60A88">
            <w:pPr>
              <w:rPr>
                <w:sz w:val="18"/>
                <w:szCs w:val="18"/>
                <w:lang w:val="fr-FR"/>
              </w:rPr>
            </w:pPr>
            <w:r>
              <w:rPr>
                <w:rFonts w:ascii="Wingdings" w:eastAsia="Wingdings" w:hAnsi="Wingdings" w:cs="Wingdings"/>
                <w:lang w:val="fr-FR"/>
              </w:rPr>
              <w:t></w:t>
            </w:r>
            <w:r w:rsidRPr="001A1ED7">
              <w:rPr>
                <w:sz w:val="20"/>
                <w:szCs w:val="20"/>
                <w:lang w:val="fr-FR"/>
              </w:rPr>
              <w:t xml:space="preserve"> </w:t>
            </w:r>
            <w:r w:rsidRPr="00387F6B">
              <w:rPr>
                <w:sz w:val="20"/>
                <w:szCs w:val="20"/>
                <w:lang w:val="fr-FR"/>
              </w:rPr>
              <w:t>L’élève peut localiser et nommer les principaux fleuves et cours d’eau représentés sur une carte</w:t>
            </w:r>
            <w:r>
              <w:rPr>
                <w:sz w:val="20"/>
                <w:szCs w:val="20"/>
                <w:lang w:val="fr-FR"/>
              </w:rPr>
              <w:t xml:space="preserve"> </w:t>
            </w:r>
            <w:r w:rsidRPr="00387F6B">
              <w:rPr>
                <w:sz w:val="20"/>
                <w:szCs w:val="20"/>
                <w:lang w:val="fr-FR"/>
              </w:rPr>
              <w:t xml:space="preserve">: </w:t>
            </w:r>
            <w:r w:rsidRPr="00387F6B">
              <w:rPr>
                <w:sz w:val="18"/>
                <w:szCs w:val="18"/>
                <w:lang w:val="fr-FR"/>
              </w:rPr>
              <w:t>Rhin, Rhône, Danube, Meuse, Escaut, Yser, Sambre.</w:t>
            </w:r>
          </w:p>
          <w:p w14:paraId="7BFABD6F" w14:textId="77777777" w:rsidR="00B60F94" w:rsidRPr="00A22C90" w:rsidRDefault="00B60F94" w:rsidP="00F60A88">
            <w:pPr>
              <w:rPr>
                <w:sz w:val="20"/>
                <w:szCs w:val="20"/>
              </w:rPr>
            </w:pPr>
            <w:r>
              <w:rPr>
                <w:rFonts w:ascii="Wingdings" w:eastAsia="Wingdings" w:hAnsi="Wingdings" w:cs="Wingdings"/>
                <w:lang w:val="fr-FR"/>
              </w:rPr>
              <w:t></w:t>
            </w:r>
            <w:r w:rsidRPr="001A1ED7">
              <w:rPr>
                <w:sz w:val="20"/>
                <w:szCs w:val="20"/>
                <w:lang w:val="fr-FR"/>
              </w:rPr>
              <w:t xml:space="preserve"> </w:t>
            </w:r>
            <w:r w:rsidRPr="00387F6B">
              <w:rPr>
                <w:sz w:val="20"/>
                <w:szCs w:val="20"/>
                <w:lang w:val="fr-FR"/>
              </w:rPr>
              <w:t xml:space="preserve">L’élève peut localiser et nommer les océans/mers : </w:t>
            </w:r>
            <w:r w:rsidRPr="00387F6B">
              <w:rPr>
                <w:sz w:val="18"/>
                <w:szCs w:val="18"/>
                <w:lang w:val="fr-FR"/>
              </w:rPr>
              <w:t>Mer du Nord et Manche, Mer Méditerranée, Mer Noire, Mer Baltique.</w:t>
            </w:r>
          </w:p>
        </w:tc>
      </w:tr>
      <w:tr w:rsidR="00B60F94" w14:paraId="0CF92D06" w14:textId="77777777" w:rsidTr="00B60F94">
        <w:tc>
          <w:tcPr>
            <w:tcW w:w="1507" w:type="dxa"/>
            <w:vMerge/>
            <w:vAlign w:val="center"/>
          </w:tcPr>
          <w:p w14:paraId="41C8F396" w14:textId="77777777" w:rsidR="00B60F94" w:rsidRPr="00A44F44" w:rsidRDefault="00B60F94" w:rsidP="00F60A88">
            <w:pPr>
              <w:jc w:val="center"/>
              <w:rPr>
                <w:b/>
                <w:bCs/>
                <w:sz w:val="20"/>
                <w:szCs w:val="20"/>
                <w:lang w:val="fr-FR"/>
              </w:rPr>
            </w:pPr>
          </w:p>
        </w:tc>
        <w:tc>
          <w:tcPr>
            <w:tcW w:w="3455" w:type="dxa"/>
          </w:tcPr>
          <w:p w14:paraId="6FD98AEF" w14:textId="77777777" w:rsidR="00B60F94" w:rsidRDefault="00EA14F3" w:rsidP="00F60A88">
            <w:pPr>
              <w:rPr>
                <w:sz w:val="20"/>
                <w:szCs w:val="20"/>
                <w:lang w:val="fr-FR"/>
              </w:rPr>
            </w:pPr>
            <w:hyperlink r:id="rId22" w:history="1">
              <w:r w:rsidR="00B60F94" w:rsidRPr="00A22C90">
                <w:rPr>
                  <w:sz w:val="20"/>
                  <w:szCs w:val="20"/>
                  <w:lang w:val="fr-FR"/>
                </w:rPr>
                <w:t xml:space="preserve">Les </w:t>
              </w:r>
              <w:r w:rsidR="00B60F94" w:rsidRPr="00B75A95">
                <w:rPr>
                  <w:sz w:val="20"/>
                  <w:szCs w:val="20"/>
                  <w:lang w:val="fr-FR"/>
                </w:rPr>
                <w:t>principaux ensembles bioclimatiques</w:t>
              </w:r>
            </w:hyperlink>
          </w:p>
          <w:p w14:paraId="72A3D3EC" w14:textId="77777777" w:rsidR="00B60F94" w:rsidRPr="00A22C90" w:rsidRDefault="00B60F94" w:rsidP="00F60A88">
            <w:pPr>
              <w:rPr>
                <w:sz w:val="20"/>
                <w:szCs w:val="20"/>
                <w:lang w:val="fr-FR"/>
              </w:rPr>
            </w:pPr>
          </w:p>
        </w:tc>
        <w:tc>
          <w:tcPr>
            <w:tcW w:w="5244" w:type="dxa"/>
          </w:tcPr>
          <w:p w14:paraId="1702ED47" w14:textId="77777777" w:rsidR="00B60F94" w:rsidRPr="00387F6B" w:rsidRDefault="00B60F94" w:rsidP="00F60A88">
            <w:pPr>
              <w:rPr>
                <w:sz w:val="18"/>
                <w:szCs w:val="18"/>
                <w:lang w:val="fr-FR"/>
              </w:rPr>
            </w:pPr>
            <w:r>
              <w:rPr>
                <w:rFonts w:ascii="Wingdings" w:eastAsia="Wingdings" w:hAnsi="Wingdings" w:cs="Wingdings"/>
                <w:lang w:val="fr-FR"/>
              </w:rPr>
              <w:t></w:t>
            </w:r>
            <w:r w:rsidRPr="001A1ED7">
              <w:rPr>
                <w:sz w:val="20"/>
                <w:szCs w:val="20"/>
                <w:lang w:val="fr-FR"/>
              </w:rPr>
              <w:t xml:space="preserve"> </w:t>
            </w:r>
            <w:r w:rsidRPr="00387F6B">
              <w:rPr>
                <w:sz w:val="20"/>
                <w:szCs w:val="20"/>
                <w:lang w:val="fr-FR"/>
              </w:rPr>
              <w:t xml:space="preserve">L’élève peut localiser et nommer les grands ensembles bioclimatiques figurés sur une carte : </w:t>
            </w:r>
            <w:r w:rsidRPr="00387F6B">
              <w:rPr>
                <w:sz w:val="18"/>
                <w:szCs w:val="18"/>
                <w:lang w:val="fr-FR"/>
              </w:rPr>
              <w:t>garrigue/maquis, forêt de feuillus, taïga, toundra.</w:t>
            </w:r>
          </w:p>
          <w:p w14:paraId="629F4745" w14:textId="77777777" w:rsidR="00B60F94" w:rsidRPr="00387F6B" w:rsidRDefault="00B60F94" w:rsidP="00F60A88">
            <w:pPr>
              <w:rPr>
                <w:sz w:val="18"/>
                <w:szCs w:val="18"/>
                <w:lang w:val="fr-FR"/>
              </w:rPr>
            </w:pPr>
            <w:r>
              <w:rPr>
                <w:rFonts w:ascii="Wingdings" w:eastAsia="Wingdings" w:hAnsi="Wingdings" w:cs="Wingdings"/>
                <w:lang w:val="fr-FR"/>
              </w:rPr>
              <w:t></w:t>
            </w:r>
            <w:r w:rsidRPr="001A1ED7">
              <w:rPr>
                <w:sz w:val="20"/>
                <w:szCs w:val="20"/>
                <w:lang w:val="fr-FR"/>
              </w:rPr>
              <w:t xml:space="preserve"> </w:t>
            </w:r>
            <w:r w:rsidRPr="00387F6B">
              <w:rPr>
                <w:sz w:val="20"/>
                <w:szCs w:val="20"/>
                <w:lang w:val="fr-FR"/>
              </w:rPr>
              <w:t>L’élève peut représenter schématiquement et nommer les grandes régions européennes</w:t>
            </w:r>
            <w:r>
              <w:rPr>
                <w:sz w:val="20"/>
                <w:szCs w:val="20"/>
                <w:lang w:val="fr-FR"/>
              </w:rPr>
              <w:t xml:space="preserve"> </w:t>
            </w:r>
            <w:r w:rsidRPr="00387F6B">
              <w:rPr>
                <w:sz w:val="18"/>
                <w:szCs w:val="18"/>
                <w:lang w:val="fr-FR"/>
              </w:rPr>
              <w:t>: bassin méditerranéen, Europe tempérée, Europe continentale, Europe septentrionale.</w:t>
            </w:r>
          </w:p>
          <w:p w14:paraId="4B2800C1" w14:textId="77777777" w:rsidR="00B60F94" w:rsidRPr="00B75A95" w:rsidRDefault="00B60F94" w:rsidP="00F60A88">
            <w:pPr>
              <w:rPr>
                <w:sz w:val="20"/>
                <w:szCs w:val="20"/>
                <w:lang w:val="fr-FR"/>
              </w:rPr>
            </w:pPr>
            <w:r>
              <w:rPr>
                <w:rFonts w:ascii="Wingdings" w:eastAsia="Wingdings" w:hAnsi="Wingdings" w:cs="Wingdings"/>
                <w:lang w:val="fr-FR"/>
              </w:rPr>
              <w:t></w:t>
            </w:r>
            <w:r w:rsidRPr="001A1ED7">
              <w:rPr>
                <w:sz w:val="20"/>
                <w:szCs w:val="20"/>
                <w:lang w:val="fr-FR"/>
              </w:rPr>
              <w:t xml:space="preserve"> </w:t>
            </w:r>
            <w:r w:rsidRPr="00387F6B">
              <w:rPr>
                <w:sz w:val="20"/>
                <w:szCs w:val="20"/>
                <w:lang w:val="fr-FR"/>
              </w:rPr>
              <w:t xml:space="preserve">L’élève peut décrire en quelques mots les paysages naturels </w:t>
            </w:r>
            <w:r>
              <w:rPr>
                <w:sz w:val="20"/>
                <w:szCs w:val="20"/>
                <w:lang w:val="fr-FR"/>
              </w:rPr>
              <w:t xml:space="preserve">(les caractéristiques sont celles qui permettent d’identifier un paysage vu du ciel) </w:t>
            </w:r>
            <w:r w:rsidRPr="00387F6B">
              <w:rPr>
                <w:sz w:val="20"/>
                <w:szCs w:val="20"/>
                <w:lang w:val="fr-FR"/>
              </w:rPr>
              <w:t>et les spécificités des climats associés aux ensembles bioclimatiques ci-dessus.</w:t>
            </w:r>
            <w:r>
              <w:rPr>
                <w:sz w:val="20"/>
                <w:szCs w:val="20"/>
                <w:lang w:val="fr-FR"/>
              </w:rPr>
              <w:t xml:space="preserve"> </w:t>
            </w:r>
          </w:p>
        </w:tc>
      </w:tr>
      <w:tr w:rsidR="00B60F94" w14:paraId="62CBC6AC" w14:textId="77777777" w:rsidTr="00B60F94">
        <w:tc>
          <w:tcPr>
            <w:tcW w:w="1507" w:type="dxa"/>
            <w:vAlign w:val="center"/>
          </w:tcPr>
          <w:p w14:paraId="2F2EED60" w14:textId="77777777" w:rsidR="00B60F94" w:rsidRPr="00A44F44" w:rsidRDefault="00B60F94" w:rsidP="00F60A88">
            <w:pPr>
              <w:jc w:val="center"/>
              <w:rPr>
                <w:b/>
                <w:bCs/>
                <w:sz w:val="20"/>
                <w:szCs w:val="20"/>
                <w:lang w:val="fr-FR"/>
              </w:rPr>
            </w:pPr>
            <w:r w:rsidRPr="00A44F44">
              <w:rPr>
                <w:b/>
                <w:bCs/>
                <w:sz w:val="20"/>
                <w:szCs w:val="20"/>
                <w:lang w:val="fr-FR"/>
              </w:rPr>
              <w:t>Modèles spatiaux</w:t>
            </w:r>
          </w:p>
        </w:tc>
        <w:tc>
          <w:tcPr>
            <w:tcW w:w="3455" w:type="dxa"/>
          </w:tcPr>
          <w:p w14:paraId="78824637" w14:textId="77777777" w:rsidR="00B60F94" w:rsidRPr="00A22C90" w:rsidRDefault="00B60F94" w:rsidP="00F60A88">
            <w:pPr>
              <w:rPr>
                <w:sz w:val="20"/>
                <w:szCs w:val="20"/>
                <w:lang w:val="fr-FR"/>
              </w:rPr>
            </w:pPr>
            <w:r>
              <w:rPr>
                <w:sz w:val="20"/>
                <w:szCs w:val="20"/>
                <w:lang w:val="fr-FR"/>
              </w:rPr>
              <w:t>Réactiver les modèles déjà appris en 4</w:t>
            </w:r>
            <w:r w:rsidRPr="008A0932">
              <w:rPr>
                <w:sz w:val="20"/>
                <w:szCs w:val="20"/>
                <w:vertAlign w:val="superscript"/>
                <w:lang w:val="fr-FR"/>
              </w:rPr>
              <w:t>e</w:t>
            </w:r>
            <w:r>
              <w:rPr>
                <w:sz w:val="20"/>
                <w:szCs w:val="20"/>
                <w:lang w:val="fr-FR"/>
              </w:rPr>
              <w:t xml:space="preserve"> année</w:t>
            </w:r>
          </w:p>
        </w:tc>
        <w:tc>
          <w:tcPr>
            <w:tcW w:w="5244" w:type="dxa"/>
          </w:tcPr>
          <w:p w14:paraId="38710265" w14:textId="77777777" w:rsidR="00B60F94" w:rsidRPr="00A22C90" w:rsidRDefault="00B60F94" w:rsidP="00F60A88">
            <w:pPr>
              <w:rPr>
                <w:sz w:val="20"/>
                <w:szCs w:val="20"/>
                <w:lang w:val="fr-FR"/>
              </w:rPr>
            </w:pPr>
            <w:r w:rsidRPr="00387F6B">
              <w:rPr>
                <w:sz w:val="20"/>
                <w:szCs w:val="20"/>
                <w:lang w:val="fr-FR"/>
              </w:rPr>
              <w:t>la circulation atmosphérique</w:t>
            </w:r>
            <w:r>
              <w:rPr>
                <w:sz w:val="20"/>
                <w:szCs w:val="20"/>
                <w:lang w:val="fr-FR"/>
              </w:rPr>
              <w:t xml:space="preserve"> - L</w:t>
            </w:r>
            <w:r w:rsidRPr="000B3EC5">
              <w:rPr>
                <w:sz w:val="20"/>
                <w:szCs w:val="20"/>
                <w:lang w:val="fr-FR"/>
              </w:rPr>
              <w:t>e zonage climatique et bioclimatique</w:t>
            </w:r>
            <w:r>
              <w:rPr>
                <w:sz w:val="20"/>
                <w:szCs w:val="20"/>
                <w:lang w:val="fr-FR"/>
              </w:rPr>
              <w:t xml:space="preserve"> - L</w:t>
            </w:r>
            <w:r w:rsidRPr="000B3EC5">
              <w:rPr>
                <w:sz w:val="20"/>
                <w:szCs w:val="20"/>
                <w:lang w:val="fr-FR"/>
              </w:rPr>
              <w:t>es courants marins</w:t>
            </w:r>
            <w:r>
              <w:rPr>
                <w:sz w:val="20"/>
                <w:szCs w:val="20"/>
                <w:lang w:val="fr-FR"/>
              </w:rPr>
              <w:t xml:space="preserve"> - L</w:t>
            </w:r>
            <w:r w:rsidRPr="000B3EC5">
              <w:rPr>
                <w:sz w:val="20"/>
                <w:szCs w:val="20"/>
                <w:lang w:val="fr-FR"/>
              </w:rPr>
              <w:t>e bilan radiatif</w:t>
            </w:r>
          </w:p>
        </w:tc>
      </w:tr>
    </w:tbl>
    <w:p w14:paraId="0D0B940D" w14:textId="77777777" w:rsidR="003810BC" w:rsidRDefault="003810BC" w:rsidP="003B46B6">
      <w:pPr>
        <w:rPr>
          <w:rFonts w:ascii="Arial" w:hAnsi="Arial" w:cs="Arial"/>
          <w:color w:val="111111"/>
        </w:rPr>
      </w:pPr>
    </w:p>
    <w:p w14:paraId="0E27B00A" w14:textId="77777777" w:rsidR="003810BC" w:rsidRDefault="003810BC" w:rsidP="003B46B6">
      <w:pPr>
        <w:rPr>
          <w:rFonts w:ascii="Arial" w:hAnsi="Arial" w:cs="Arial"/>
          <w:color w:val="111111"/>
        </w:rPr>
      </w:pPr>
    </w:p>
    <w:p w14:paraId="60061E4C" w14:textId="77777777" w:rsidR="00B3766E" w:rsidRDefault="00B3766E">
      <w:pPr>
        <w:rPr>
          <w:b/>
          <w:bCs/>
          <w:sz w:val="28"/>
          <w:szCs w:val="28"/>
          <w:lang w:val="fr-FR"/>
        </w:rPr>
      </w:pPr>
      <w:bookmarkStart w:id="4" w:name="_Hlk37952659"/>
      <w:r>
        <w:rPr>
          <w:b/>
          <w:bCs/>
          <w:sz w:val="28"/>
          <w:szCs w:val="28"/>
          <w:lang w:val="fr-FR"/>
        </w:rPr>
        <w:br w:type="page"/>
      </w:r>
    </w:p>
    <w:p w14:paraId="3F1D4F03" w14:textId="77777777" w:rsidR="00B3766E" w:rsidRPr="00F45B96" w:rsidRDefault="00B3766E" w:rsidP="00B3766E">
      <w:pPr>
        <w:pStyle w:val="Paragraphedeliste"/>
        <w:numPr>
          <w:ilvl w:val="0"/>
          <w:numId w:val="4"/>
        </w:numPr>
        <w:rPr>
          <w:b/>
          <w:bCs/>
          <w:sz w:val="28"/>
          <w:szCs w:val="28"/>
          <w:lang w:val="fr-FR"/>
        </w:rPr>
      </w:pPr>
      <w:r w:rsidRPr="00F45B96">
        <w:rPr>
          <w:b/>
          <w:bCs/>
          <w:sz w:val="28"/>
          <w:szCs w:val="28"/>
          <w:lang w:val="fr-FR"/>
        </w:rPr>
        <w:lastRenderedPageBreak/>
        <w:t>Notes et conseils pour utiliser efficacement les situations d’apprentissage dans le cadre de cours à distance</w:t>
      </w:r>
    </w:p>
    <w:p w14:paraId="726668EE" w14:textId="77777777" w:rsidR="00B3766E" w:rsidRPr="00201C88" w:rsidRDefault="00B3766E" w:rsidP="00B3766E">
      <w:pPr>
        <w:ind w:left="360"/>
        <w:rPr>
          <w:lang w:val="fr-FR"/>
        </w:rPr>
      </w:pPr>
      <w:r w:rsidRPr="000C0113">
        <w:rPr>
          <w:lang w:val="fr-FR"/>
        </w:rPr>
        <w:t xml:space="preserve">Dans le tableau des « incontournables », des exemples de situations d’apprentissage sont proposés. Toutes les situations d’apprentissage sont accessibles sur </w:t>
      </w:r>
      <w:hyperlink r:id="rId23" w:history="1">
        <w:r w:rsidR="00201C88" w:rsidRPr="000265A3">
          <w:rPr>
            <w:rStyle w:val="Lienhypertexte"/>
            <w:lang w:val="fr-FR"/>
          </w:rPr>
          <w:t>http://geo.scienceshumaines.be/wordpress/?page_id=732</w:t>
        </w:r>
      </w:hyperlink>
      <w:r w:rsidR="00201C88">
        <w:rPr>
          <w:lang w:val="fr-FR"/>
        </w:rPr>
        <w:t xml:space="preserve"> </w:t>
      </w:r>
    </w:p>
    <w:p w14:paraId="11E06F53" w14:textId="77777777" w:rsidR="00B3766E" w:rsidRPr="000C0113" w:rsidRDefault="00B3766E" w:rsidP="00B3766E">
      <w:pPr>
        <w:ind w:left="360"/>
        <w:rPr>
          <w:lang w:val="fr-FR"/>
        </w:rPr>
      </w:pPr>
      <w:r w:rsidRPr="000C0113">
        <w:rPr>
          <w:lang w:val="fr-FR"/>
        </w:rPr>
        <w:t>Les situations d’apprentissage s’organisent de la manière suivante :</w:t>
      </w:r>
    </w:p>
    <w:p w14:paraId="4690FF65" w14:textId="77777777" w:rsidR="00B3766E" w:rsidRPr="000C0113" w:rsidRDefault="00B3766E" w:rsidP="00B3766E">
      <w:pPr>
        <w:pStyle w:val="Paragraphedeliste"/>
        <w:numPr>
          <w:ilvl w:val="0"/>
          <w:numId w:val="9"/>
        </w:numPr>
        <w:rPr>
          <w:lang w:val="fr-FR"/>
        </w:rPr>
      </w:pPr>
      <w:r w:rsidRPr="000C0113">
        <w:rPr>
          <w:lang w:val="fr-FR"/>
        </w:rPr>
        <w:t>Une contextualisation (objet général de l’apprentissage)</w:t>
      </w:r>
    </w:p>
    <w:p w14:paraId="59CBE808" w14:textId="77777777" w:rsidR="00B3766E" w:rsidRPr="000C0113" w:rsidRDefault="00B3766E" w:rsidP="00B3766E">
      <w:pPr>
        <w:pStyle w:val="Paragraphedeliste"/>
        <w:numPr>
          <w:ilvl w:val="0"/>
          <w:numId w:val="9"/>
        </w:numPr>
        <w:rPr>
          <w:lang w:val="fr-FR"/>
        </w:rPr>
      </w:pPr>
      <w:r w:rsidRPr="000C0113">
        <w:rPr>
          <w:lang w:val="fr-FR"/>
        </w:rPr>
        <w:t>Les supports documentaires : l’accent est porté sur les outils numériques que l’élève pourra utiliser à distance.</w:t>
      </w:r>
    </w:p>
    <w:p w14:paraId="5842C3FE" w14:textId="77777777" w:rsidR="00B3766E" w:rsidRPr="000C0113" w:rsidRDefault="00B3766E" w:rsidP="00B3766E">
      <w:pPr>
        <w:pStyle w:val="Paragraphedeliste"/>
        <w:numPr>
          <w:ilvl w:val="0"/>
          <w:numId w:val="9"/>
        </w:numPr>
        <w:rPr>
          <w:lang w:val="fr-FR"/>
        </w:rPr>
      </w:pPr>
      <w:r w:rsidRPr="2DB06B5A">
        <w:rPr>
          <w:lang w:val="fr-FR"/>
        </w:rPr>
        <w:t>Les consignes : elles précisent ce qui est attendu de l’élève en termes de production. Cette production est le reflet du niveau de maitrise de l’apprentissage.</w:t>
      </w:r>
      <w:r>
        <w:br/>
      </w:r>
      <w:r w:rsidRPr="2DB06B5A">
        <w:rPr>
          <w:lang w:val="fr-FR"/>
        </w:rPr>
        <w:t>Il faut s’assurer que la forme de la production ne constitue pas un obstacle à sa réalisation.</w:t>
      </w:r>
    </w:p>
    <w:p w14:paraId="56A8506F" w14:textId="77777777" w:rsidR="00B3766E" w:rsidRPr="000C0113" w:rsidRDefault="00B3766E" w:rsidP="00B3766E">
      <w:pPr>
        <w:pStyle w:val="Paragraphedeliste"/>
        <w:numPr>
          <w:ilvl w:val="0"/>
          <w:numId w:val="9"/>
        </w:numPr>
        <w:rPr>
          <w:lang w:val="fr-FR"/>
        </w:rPr>
      </w:pPr>
      <w:r w:rsidRPr="2DB06B5A">
        <w:rPr>
          <w:lang w:val="fr-FR"/>
        </w:rPr>
        <w:t>Un exemple de production attendue.</w:t>
      </w:r>
      <w:r>
        <w:br/>
      </w:r>
      <w:r w:rsidRPr="2DB06B5A">
        <w:rPr>
          <w:lang w:val="fr-FR"/>
        </w:rPr>
        <w:t>Attention, si les élèves n’ont pas les savoir-faire et/ou le matériel suffisants pour atteindre la production attendue, il est nécessaire d’adapter les consignes.</w:t>
      </w:r>
    </w:p>
    <w:p w14:paraId="72E3A9E6" w14:textId="77777777" w:rsidR="00B3766E" w:rsidRPr="000C0113" w:rsidRDefault="00B3766E" w:rsidP="00B3766E">
      <w:pPr>
        <w:pStyle w:val="Paragraphedeliste"/>
        <w:numPr>
          <w:ilvl w:val="0"/>
          <w:numId w:val="9"/>
        </w:numPr>
        <w:rPr>
          <w:lang w:val="fr-FR"/>
        </w:rPr>
      </w:pPr>
      <w:r w:rsidRPr="000C0113">
        <w:rPr>
          <w:lang w:val="fr-FR"/>
        </w:rPr>
        <w:t>Un exemple de structuration des acquis.</w:t>
      </w:r>
      <w:r w:rsidRPr="000C0113">
        <w:rPr>
          <w:lang w:val="fr-FR"/>
        </w:rPr>
        <w:br/>
        <w:t xml:space="preserve">Au-delà de l’exercice d’apprentissage, il est indispensable de structurer ce qui a été appris. Il est nécessaire de donner le temps aux élèves de revenir sur ce qui a été appris. Les exemples ne reprennent pas tout le développement qui s’impose dans cette partie et qui sera fonction des prérequis variables en fonction des classes. </w:t>
      </w:r>
    </w:p>
    <w:p w14:paraId="29F78E3B" w14:textId="77777777" w:rsidR="00B3766E" w:rsidRPr="000C0113" w:rsidRDefault="00B3766E" w:rsidP="00B3766E">
      <w:pPr>
        <w:pStyle w:val="Paragraphedeliste"/>
        <w:numPr>
          <w:ilvl w:val="0"/>
          <w:numId w:val="9"/>
        </w:numPr>
        <w:rPr>
          <w:lang w:val="fr-FR"/>
        </w:rPr>
      </w:pPr>
      <w:r w:rsidRPr="000C0113">
        <w:rPr>
          <w:lang w:val="fr-FR"/>
        </w:rPr>
        <w:t xml:space="preserve">Un exemple de grille d’évaluation. </w:t>
      </w:r>
      <w:r w:rsidRPr="000C0113">
        <w:rPr>
          <w:lang w:val="fr-FR"/>
        </w:rPr>
        <w:br/>
        <w:t>Attention, cette dernière ne vise pas à sanctionner les élèves, mais à vous donner des indicateurs afin d’évaluer le degré de maitrise de ce qui a été appris. SI la maitrise n’est pas suffisante, cela indique qu’il faudra revenir sur les apprentissages d’une autre manière.</w:t>
      </w:r>
    </w:p>
    <w:p w14:paraId="7A80A976" w14:textId="77777777" w:rsidR="00B3766E" w:rsidRPr="000B39AB" w:rsidRDefault="00B3766E" w:rsidP="00B3766E">
      <w:pPr>
        <w:ind w:left="360"/>
        <w:rPr>
          <w:b/>
          <w:bCs/>
          <w:sz w:val="28"/>
          <w:szCs w:val="28"/>
          <w:lang w:val="fr-FR"/>
        </w:rPr>
      </w:pPr>
      <w:r w:rsidRPr="000B39AB">
        <w:rPr>
          <w:b/>
          <w:bCs/>
          <w:sz w:val="28"/>
          <w:szCs w:val="28"/>
          <w:lang w:val="fr-FR"/>
        </w:rPr>
        <w:t>Conseils pour utiliser efficacement ces situations d’apprentissage dans le cadre d’un enseignement à distance</w:t>
      </w:r>
    </w:p>
    <w:p w14:paraId="1E35496F" w14:textId="77777777" w:rsidR="00B3766E" w:rsidRPr="00F45B96" w:rsidRDefault="00B3766E" w:rsidP="00B3766E">
      <w:pPr>
        <w:pStyle w:val="NormalWeb"/>
        <w:numPr>
          <w:ilvl w:val="0"/>
          <w:numId w:val="8"/>
        </w:numPr>
        <w:shd w:val="clear" w:color="auto" w:fill="FFFFFF"/>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 xml:space="preserve">Dans la situation d’apprentissage proposée, faites un copier-coller des points 2 et 3 (les documents et les consignes). </w:t>
      </w:r>
    </w:p>
    <w:p w14:paraId="67C452B9" w14:textId="77777777" w:rsidR="00B3766E" w:rsidRPr="00F45B96" w:rsidRDefault="00B3766E" w:rsidP="00B3766E">
      <w:pPr>
        <w:pStyle w:val="NormalWeb"/>
        <w:numPr>
          <w:ilvl w:val="0"/>
          <w:numId w:val="8"/>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Adaptez éventuellement les consignes de manière à vous assurer qu’elles sont accessibles à l’ensemble de vos élèves. Vérifiez que l’élève a les savoir-faire suffisants pour réaliser la production attendue. Si ce n’est pas le cas, prévoyez un support (procédure, assistance en ligne…) pour permettre aux élèves de réaliser la tâche.</w:t>
      </w:r>
    </w:p>
    <w:p w14:paraId="06A6CC9C" w14:textId="77777777" w:rsidR="00B3766E" w:rsidRPr="00F45B96" w:rsidRDefault="00B3766E" w:rsidP="00B3766E">
      <w:pPr>
        <w:pStyle w:val="NormalWeb"/>
        <w:numPr>
          <w:ilvl w:val="0"/>
          <w:numId w:val="8"/>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Ajoutez à ces consignes le délai pour l’envoi de la production et les modalités pour la communication de la production.</w:t>
      </w:r>
    </w:p>
    <w:p w14:paraId="17175697" w14:textId="77777777" w:rsidR="00B3766E" w:rsidRPr="00F45B96" w:rsidRDefault="00B3766E" w:rsidP="00B3766E">
      <w:pPr>
        <w:pStyle w:val="NormalWeb"/>
        <w:numPr>
          <w:ilvl w:val="0"/>
          <w:numId w:val="8"/>
        </w:numPr>
        <w:shd w:val="clear" w:color="auto" w:fill="FFFFFF"/>
        <w:spacing w:before="0" w:beforeAutospacing="0" w:after="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La grille d’évaluation est proposée afin de vous donner les indicateurs qui vous permettront d’apprécier la qualité des apprentissages et d’envisager, si nécessaire, d’autres situations pour remédier aux éventuelles lacunes.</w:t>
      </w:r>
    </w:p>
    <w:bookmarkEnd w:id="4"/>
    <w:p w14:paraId="44EAFD9C" w14:textId="77777777" w:rsidR="00755667" w:rsidRPr="003B46B6" w:rsidRDefault="00755667"/>
    <w:sectPr w:rsidR="00755667" w:rsidRPr="003B46B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6B9AB" w14:textId="77777777" w:rsidR="00ED0433" w:rsidRDefault="00ED0433" w:rsidP="003B46B6">
      <w:pPr>
        <w:spacing w:after="0" w:line="240" w:lineRule="auto"/>
      </w:pPr>
      <w:r>
        <w:separator/>
      </w:r>
    </w:p>
  </w:endnote>
  <w:endnote w:type="continuationSeparator" w:id="0">
    <w:p w14:paraId="45FB0818" w14:textId="77777777" w:rsidR="00ED0433" w:rsidRDefault="00ED0433"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479427"/>
      <w:docPartObj>
        <w:docPartGallery w:val="Page Numbers (Bottom of Page)"/>
        <w:docPartUnique/>
      </w:docPartObj>
    </w:sdtPr>
    <w:sdtContent>
      <w:p w14:paraId="6FBF0A97" w14:textId="0F6523FA" w:rsidR="00EA14F3" w:rsidRDefault="00EA14F3">
        <w:pPr>
          <w:pStyle w:val="Pieddepage"/>
          <w:jc w:val="right"/>
        </w:pPr>
        <w:r w:rsidRPr="001E1711">
          <w:rPr>
            <w:b/>
            <w:noProof/>
          </w:rPr>
          <w:drawing>
            <wp:anchor distT="0" distB="0" distL="114300" distR="114300" simplePos="0" relativeHeight="251658752" behindDoc="1" locked="0" layoutInCell="1" allowOverlap="1" wp14:anchorId="573F8474" wp14:editId="1821BF2A">
              <wp:simplePos x="0" y="0"/>
              <wp:positionH relativeFrom="margin">
                <wp:align>left</wp:align>
              </wp:positionH>
              <wp:positionV relativeFrom="paragraph">
                <wp:posOffset>114300</wp:posOffset>
              </wp:positionV>
              <wp:extent cx="763270" cy="447675"/>
              <wp:effectExtent l="0" t="0" r="0" b="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999" cy="4561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0F8DE76C" w14:textId="5D61E398" w:rsidR="00EA14F3" w:rsidRDefault="00EA14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D5A5" w14:textId="77777777" w:rsidR="00ED0433" w:rsidRDefault="00ED0433" w:rsidP="003B46B6">
      <w:pPr>
        <w:spacing w:after="0" w:line="240" w:lineRule="auto"/>
      </w:pPr>
      <w:r>
        <w:separator/>
      </w:r>
    </w:p>
  </w:footnote>
  <w:footnote w:type="continuationSeparator" w:id="0">
    <w:p w14:paraId="3DEEC669" w14:textId="77777777" w:rsidR="00ED0433" w:rsidRDefault="00ED0433" w:rsidP="003B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B9DC" w14:textId="77777777" w:rsidR="003B46B6" w:rsidRDefault="000B0BFF" w:rsidP="003B46B6">
    <w:pPr>
      <w:pStyle w:val="En-tte"/>
      <w:pBdr>
        <w:bottom w:val="single" w:sz="4" w:space="1" w:color="auto"/>
      </w:pBdr>
    </w:pPr>
    <w:r w:rsidRPr="000B0BFF">
      <w:rPr>
        <w:b/>
        <w:bCs/>
        <w:noProof/>
        <w:lang w:val="fr-FR"/>
      </w:rPr>
      <w:drawing>
        <wp:anchor distT="0" distB="0" distL="114300" distR="114300" simplePos="0" relativeHeight="251658240" behindDoc="0" locked="0" layoutInCell="1" allowOverlap="1" wp14:anchorId="647706AD" wp14:editId="07777777">
          <wp:simplePos x="0" y="0"/>
          <wp:positionH relativeFrom="column">
            <wp:posOffset>5454982</wp:posOffset>
          </wp:positionH>
          <wp:positionV relativeFrom="paragraph">
            <wp:posOffset>-335280</wp:posOffset>
          </wp:positionV>
          <wp:extent cx="818183" cy="723517"/>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3571" cy="728282"/>
                  </a:xfrm>
                  <a:prstGeom prst="rect">
                    <a:avLst/>
                  </a:prstGeom>
                </pic:spPr>
              </pic:pic>
            </a:graphicData>
          </a:graphic>
          <wp14:sizeRelH relativeFrom="margin">
            <wp14:pctWidth>0</wp14:pctWidth>
          </wp14:sizeRelH>
          <wp14:sizeRelV relativeFrom="margin">
            <wp14:pctHeight>0</wp14:pctHeight>
          </wp14:sizeRelV>
        </wp:anchor>
      </w:drawing>
    </w:r>
    <w:r w:rsidR="0CB676B7" w:rsidRPr="0207C43A">
      <w:rPr>
        <w:b/>
        <w:bCs/>
        <w:lang w:val="fr-FR"/>
      </w:rPr>
      <w:t xml:space="preserve">Formation géographique – </w:t>
    </w:r>
    <w:r w:rsidR="0CB676B7">
      <w:rPr>
        <w:b/>
        <w:bCs/>
        <w:lang w:val="fr-FR"/>
      </w:rPr>
      <w:t>5</w:t>
    </w:r>
    <w:r w:rsidR="0CB676B7" w:rsidRPr="0207C43A">
      <w:rPr>
        <w:b/>
        <w:bCs/>
        <w:vertAlign w:val="superscript"/>
        <w:lang w:val="fr-FR"/>
      </w:rPr>
      <w:t>e</w:t>
    </w:r>
    <w:r w:rsidR="0CB676B7" w:rsidRPr="0207C43A">
      <w:rPr>
        <w:b/>
        <w:bCs/>
        <w:lang w:val="fr-FR"/>
      </w:rPr>
      <w:t xml:space="preserve"> année</w:t>
    </w:r>
    <w:r w:rsidR="0CB676B7">
      <w:rPr>
        <w:b/>
        <w:bCs/>
        <w:lang w:val="fr-FR"/>
      </w:rPr>
      <w:t xml:space="preserve">– Programme 2008 - </w:t>
    </w:r>
    <w:r w:rsidR="0CB676B7" w:rsidRPr="0207C43A">
      <w:rPr>
        <w:b/>
        <w:bCs/>
        <w:lang w:val="fr-FR"/>
      </w:rPr>
      <w:t>Les</w:t>
    </w:r>
    <w:r w:rsidR="0CB676B7">
      <w:rPr>
        <w:b/>
        <w:bCs/>
        <w:lang w:val="fr-FR"/>
      </w:rPr>
      <w:t xml:space="preserve"> essentiels - </w:t>
    </w:r>
    <w:hyperlink r:id="rId2">
      <w:r w:rsidR="0CB676B7" w:rsidRPr="0207C43A">
        <w:rPr>
          <w:rStyle w:val="Lienhypertexte"/>
          <w:sz w:val="20"/>
          <w:szCs w:val="20"/>
          <w:lang w:val="fr-FR"/>
        </w:rPr>
        <w:t>https://geo.fesec.be</w:t>
      </w:r>
    </w:hyperlink>
    <w:r w:rsidR="0CB676B7">
      <w:rPr>
        <w:sz w:val="20"/>
        <w:szCs w:val="20"/>
        <w:lang w:val="fr-FR"/>
      </w:rPr>
      <w:t xml:space="preserve"> </w:t>
    </w:r>
    <w:r w:rsidR="0CB676B7" w:rsidRPr="003B46B6">
      <w:rPr>
        <w:rFonts w:ascii="Wingdings" w:eastAsia="Wingdings" w:hAnsi="Wingdings" w:cs="Wingdings"/>
        <w:sz w:val="20"/>
        <w:szCs w:val="20"/>
        <w:lang w:val="fr-FR"/>
      </w:rPr>
      <w:t></w:t>
    </w:r>
    <w:r w:rsidR="0CB676B7">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AB0"/>
    <w:multiLevelType w:val="hybridMultilevel"/>
    <w:tmpl w:val="FA24C684"/>
    <w:lvl w:ilvl="0" w:tplc="AD32CA8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2" w15:restartNumberingAfterBreak="0">
    <w:nsid w:val="1A0C7BA4"/>
    <w:multiLevelType w:val="hybridMultilevel"/>
    <w:tmpl w:val="34B8DBA0"/>
    <w:lvl w:ilvl="0" w:tplc="080C0001">
      <w:start w:val="1"/>
      <w:numFmt w:val="bullet"/>
      <w:lvlText w:val=""/>
      <w:lvlJc w:val="left"/>
      <w:pPr>
        <w:ind w:left="645" w:hanging="360"/>
      </w:pPr>
      <w:rPr>
        <w:rFonts w:ascii="Symbol" w:hAnsi="Symbol" w:hint="default"/>
      </w:rPr>
    </w:lvl>
    <w:lvl w:ilvl="1" w:tplc="080C0003" w:tentative="1">
      <w:start w:val="1"/>
      <w:numFmt w:val="bullet"/>
      <w:lvlText w:val="o"/>
      <w:lvlJc w:val="left"/>
      <w:pPr>
        <w:ind w:left="1365" w:hanging="360"/>
      </w:pPr>
      <w:rPr>
        <w:rFonts w:ascii="Courier New" w:hAnsi="Courier New" w:cs="Courier New" w:hint="default"/>
      </w:rPr>
    </w:lvl>
    <w:lvl w:ilvl="2" w:tplc="080C0005" w:tentative="1">
      <w:start w:val="1"/>
      <w:numFmt w:val="bullet"/>
      <w:lvlText w:val=""/>
      <w:lvlJc w:val="left"/>
      <w:pPr>
        <w:ind w:left="2085" w:hanging="360"/>
      </w:pPr>
      <w:rPr>
        <w:rFonts w:ascii="Wingdings" w:hAnsi="Wingdings" w:hint="default"/>
      </w:rPr>
    </w:lvl>
    <w:lvl w:ilvl="3" w:tplc="080C0001" w:tentative="1">
      <w:start w:val="1"/>
      <w:numFmt w:val="bullet"/>
      <w:lvlText w:val=""/>
      <w:lvlJc w:val="left"/>
      <w:pPr>
        <w:ind w:left="2805" w:hanging="360"/>
      </w:pPr>
      <w:rPr>
        <w:rFonts w:ascii="Symbol" w:hAnsi="Symbol" w:hint="default"/>
      </w:rPr>
    </w:lvl>
    <w:lvl w:ilvl="4" w:tplc="080C0003" w:tentative="1">
      <w:start w:val="1"/>
      <w:numFmt w:val="bullet"/>
      <w:lvlText w:val="o"/>
      <w:lvlJc w:val="left"/>
      <w:pPr>
        <w:ind w:left="3525" w:hanging="360"/>
      </w:pPr>
      <w:rPr>
        <w:rFonts w:ascii="Courier New" w:hAnsi="Courier New" w:cs="Courier New" w:hint="default"/>
      </w:rPr>
    </w:lvl>
    <w:lvl w:ilvl="5" w:tplc="080C0005" w:tentative="1">
      <w:start w:val="1"/>
      <w:numFmt w:val="bullet"/>
      <w:lvlText w:val=""/>
      <w:lvlJc w:val="left"/>
      <w:pPr>
        <w:ind w:left="4245" w:hanging="360"/>
      </w:pPr>
      <w:rPr>
        <w:rFonts w:ascii="Wingdings" w:hAnsi="Wingdings" w:hint="default"/>
      </w:rPr>
    </w:lvl>
    <w:lvl w:ilvl="6" w:tplc="080C0001" w:tentative="1">
      <w:start w:val="1"/>
      <w:numFmt w:val="bullet"/>
      <w:lvlText w:val=""/>
      <w:lvlJc w:val="left"/>
      <w:pPr>
        <w:ind w:left="4965" w:hanging="360"/>
      </w:pPr>
      <w:rPr>
        <w:rFonts w:ascii="Symbol" w:hAnsi="Symbol" w:hint="default"/>
      </w:rPr>
    </w:lvl>
    <w:lvl w:ilvl="7" w:tplc="080C0003" w:tentative="1">
      <w:start w:val="1"/>
      <w:numFmt w:val="bullet"/>
      <w:lvlText w:val="o"/>
      <w:lvlJc w:val="left"/>
      <w:pPr>
        <w:ind w:left="5685" w:hanging="360"/>
      </w:pPr>
      <w:rPr>
        <w:rFonts w:ascii="Courier New" w:hAnsi="Courier New" w:cs="Courier New" w:hint="default"/>
      </w:rPr>
    </w:lvl>
    <w:lvl w:ilvl="8" w:tplc="080C0005" w:tentative="1">
      <w:start w:val="1"/>
      <w:numFmt w:val="bullet"/>
      <w:lvlText w:val=""/>
      <w:lvlJc w:val="left"/>
      <w:pPr>
        <w:ind w:left="6405" w:hanging="360"/>
      </w:pPr>
      <w:rPr>
        <w:rFonts w:ascii="Wingdings" w:hAnsi="Wingdings" w:hint="default"/>
      </w:rPr>
    </w:lvl>
  </w:abstractNum>
  <w:abstractNum w:abstractNumId="3" w15:restartNumberingAfterBreak="0">
    <w:nsid w:val="368837D5"/>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8"/>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20BDB"/>
    <w:rsid w:val="000B0BFF"/>
    <w:rsid w:val="000E4148"/>
    <w:rsid w:val="0018587C"/>
    <w:rsid w:val="00201C88"/>
    <w:rsid w:val="002A4BE5"/>
    <w:rsid w:val="002F3BCA"/>
    <w:rsid w:val="00327140"/>
    <w:rsid w:val="003810BC"/>
    <w:rsid w:val="00391D7B"/>
    <w:rsid w:val="003B46B6"/>
    <w:rsid w:val="003C1E9D"/>
    <w:rsid w:val="00423560"/>
    <w:rsid w:val="005629E2"/>
    <w:rsid w:val="006331AD"/>
    <w:rsid w:val="006C7010"/>
    <w:rsid w:val="00755667"/>
    <w:rsid w:val="00876EB6"/>
    <w:rsid w:val="00A8520B"/>
    <w:rsid w:val="00B3766E"/>
    <w:rsid w:val="00B60F94"/>
    <w:rsid w:val="00DC11B5"/>
    <w:rsid w:val="00EA14F3"/>
    <w:rsid w:val="00ED0433"/>
    <w:rsid w:val="00FB3D94"/>
    <w:rsid w:val="034FACFF"/>
    <w:rsid w:val="0CB676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07E85"/>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Notedebasdepage">
    <w:name w:val="footnote text"/>
    <w:basedOn w:val="Normal"/>
    <w:link w:val="NotedebasdepageCar"/>
    <w:uiPriority w:val="99"/>
    <w:semiHidden/>
    <w:unhideWhenUsed/>
    <w:rsid w:val="00B60F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0F94"/>
    <w:rPr>
      <w:sz w:val="20"/>
      <w:szCs w:val="20"/>
    </w:rPr>
  </w:style>
  <w:style w:type="character" w:styleId="Appelnotedebasdep">
    <w:name w:val="footnote reference"/>
    <w:basedOn w:val="Policepardfaut"/>
    <w:uiPriority w:val="99"/>
    <w:semiHidden/>
    <w:unhideWhenUsed/>
    <w:rsid w:val="00B60F94"/>
    <w:rPr>
      <w:vertAlign w:val="superscript"/>
    </w:rPr>
  </w:style>
  <w:style w:type="paragraph" w:styleId="NormalWeb">
    <w:name w:val="Normal (Web)"/>
    <w:basedOn w:val="Normal"/>
    <w:uiPriority w:val="99"/>
    <w:unhideWhenUsed/>
    <w:rsid w:val="00B3766E"/>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line.demoustier@segec.be" TargetMode="External"/><Relationship Id="rId18" Type="http://schemas.openxmlformats.org/officeDocument/2006/relationships/hyperlink" Target="http://geo.scienceshumaines.be/wordpress/?p=389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geo.scienceshumaines.be/wordpress/?page_id=281" TargetMode="External"/><Relationship Id="rId7" Type="http://schemas.openxmlformats.org/officeDocument/2006/relationships/webSettings" Target="webSettings.xml"/><Relationship Id="rId12" Type="http://schemas.openxmlformats.org/officeDocument/2006/relationships/hyperlink" Target="mailto:axelle.delval@segec.be" TargetMode="External"/><Relationship Id="rId17" Type="http://schemas.openxmlformats.org/officeDocument/2006/relationships/hyperlink" Target="http://geo.scienceshumaines.be/wordpress/?p=430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rc.deprez@segec.be" TargetMode="External"/><Relationship Id="rId20" Type="http://schemas.openxmlformats.org/officeDocument/2006/relationships/hyperlink" Target="http://geo.scienceshumaines.be/wordpress/?p=437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nne.quitin@segec.b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eline.demoustier@segec.be" TargetMode="External"/><Relationship Id="rId23" Type="http://schemas.openxmlformats.org/officeDocument/2006/relationships/hyperlink" Target="http://geo.scienceshumaines.be/wordpress/?page_id=732" TargetMode="External"/><Relationship Id="rId10" Type="http://schemas.openxmlformats.org/officeDocument/2006/relationships/image" Target="media/image1.png"/><Relationship Id="rId19" Type="http://schemas.openxmlformats.org/officeDocument/2006/relationships/hyperlink" Target="http://geo.scienceshumaines.be/wordpress/?p=503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scale.lambrechts@segec.be" TargetMode="External"/><Relationship Id="rId22" Type="http://schemas.openxmlformats.org/officeDocument/2006/relationships/hyperlink" Target="http://geo.scienceshumaines.be/wordpress/?page_id=281"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s://geo.fesec.be"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Blandine Flament</DisplayName>
        <AccountId>84</AccountId>
        <AccountType/>
      </UserInfo>
      <UserInfo>
        <DisplayName>Chaufoureau Lorry</DisplayName>
        <AccountId>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82B1D-3C1E-4334-A43A-A235B25B6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5C8E2-9FAE-4918-82AA-9C210B0E94C6}">
  <ds:schemaRefs>
    <ds:schemaRef ds:uri="http://www.w3.org/XML/1998/namespace"/>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5505cd70-7e0f-4dc3-9eca-52c48a08fa6d"/>
    <ds:schemaRef ds:uri="4d305eb4-31fb-457d-a69d-45076095c278"/>
  </ds:schemaRefs>
</ds:datastoreItem>
</file>

<file path=customXml/itemProps3.xml><?xml version="1.0" encoding="utf-8"?>
<ds:datastoreItem xmlns:ds="http://schemas.openxmlformats.org/officeDocument/2006/customXml" ds:itemID="{14E1E48C-A1EF-498E-B7BA-D2BC4DFBC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6815</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Blandine Flament</cp:lastModifiedBy>
  <cp:revision>2</cp:revision>
  <dcterms:created xsi:type="dcterms:W3CDTF">2020-04-29T14:06:00Z</dcterms:created>
  <dcterms:modified xsi:type="dcterms:W3CDTF">2020-04-29T14:06:00Z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