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B563" w14:textId="105CFBEB" w:rsidR="00F85670" w:rsidRDefault="00F85670" w:rsidP="00F85670">
      <w:pPr>
        <w:spacing w:before="840" w:after="120"/>
        <w:ind w:left="360"/>
        <w:rPr>
          <w:b/>
          <w:bCs/>
          <w:sz w:val="28"/>
          <w:szCs w:val="28"/>
          <w:lang w:val="fr-FR"/>
        </w:rPr>
      </w:pPr>
      <w:bookmarkStart w:id="0" w:name="_Hlk37952855"/>
      <w:r>
        <w:rPr>
          <w:noProof/>
        </w:rPr>
        <w:drawing>
          <wp:anchor distT="0" distB="0" distL="114300" distR="114300" simplePos="0" relativeHeight="251658240" behindDoc="0" locked="0" layoutInCell="1" allowOverlap="1" wp14:anchorId="6179189C" wp14:editId="614021D9">
            <wp:simplePos x="0" y="0"/>
            <wp:positionH relativeFrom="column">
              <wp:posOffset>224155</wp:posOffset>
            </wp:positionH>
            <wp:positionV relativeFrom="paragraph">
              <wp:posOffset>0</wp:posOffset>
            </wp:positionV>
            <wp:extent cx="2207895" cy="1295400"/>
            <wp:effectExtent l="0" t="0" r="1905"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7895" cy="1295400"/>
                    </a:xfrm>
                    <a:prstGeom prst="rect">
                      <a:avLst/>
                    </a:prstGeom>
                  </pic:spPr>
                </pic:pic>
              </a:graphicData>
            </a:graphic>
          </wp:anchor>
        </w:drawing>
      </w:r>
      <w:r w:rsidR="009C7B3D">
        <w:rPr>
          <w:b/>
          <w:bCs/>
          <w:sz w:val="28"/>
          <w:szCs w:val="28"/>
          <w:lang w:val="fr-FR"/>
        </w:rPr>
        <w:t>FORMATION GEOGRAPHIQUE</w:t>
      </w:r>
    </w:p>
    <w:p w14:paraId="7A4D2B93" w14:textId="0ACE4F1C" w:rsidR="00F85670" w:rsidRDefault="00F85670" w:rsidP="00F85670">
      <w:pPr>
        <w:spacing w:before="100" w:beforeAutospacing="1" w:after="120"/>
        <w:ind w:left="360"/>
        <w:rPr>
          <w:b/>
          <w:bCs/>
          <w:sz w:val="28"/>
          <w:szCs w:val="28"/>
          <w:lang w:val="fr-FR"/>
        </w:rPr>
      </w:pPr>
    </w:p>
    <w:p w14:paraId="4D471970" w14:textId="77777777" w:rsidR="00F85670" w:rsidRDefault="00F85670" w:rsidP="001A3134">
      <w:pPr>
        <w:ind w:left="360"/>
        <w:rPr>
          <w:b/>
          <w:bCs/>
          <w:sz w:val="28"/>
          <w:szCs w:val="28"/>
          <w:lang w:val="fr-FR"/>
        </w:rPr>
      </w:pPr>
    </w:p>
    <w:p w14:paraId="4A991A33" w14:textId="53B47707" w:rsidR="001A3134" w:rsidRDefault="001A3134" w:rsidP="001A3134">
      <w:pPr>
        <w:ind w:left="360"/>
        <w:rPr>
          <w:b/>
          <w:bCs/>
          <w:sz w:val="28"/>
          <w:szCs w:val="28"/>
          <w:lang w:val="fr-FR"/>
        </w:rPr>
      </w:pPr>
      <w:r>
        <w:rPr>
          <w:b/>
          <w:bCs/>
          <w:sz w:val="28"/>
          <w:szCs w:val="28"/>
          <w:lang w:val="fr-FR"/>
        </w:rPr>
        <w:t>Dans ce document</w:t>
      </w:r>
      <w:r w:rsidR="00000FC9">
        <w:rPr>
          <w:b/>
          <w:bCs/>
          <w:sz w:val="28"/>
          <w:szCs w:val="28"/>
          <w:lang w:val="fr-FR"/>
        </w:rPr>
        <w:t>,</w:t>
      </w:r>
      <w:r>
        <w:rPr>
          <w:b/>
          <w:bCs/>
          <w:sz w:val="28"/>
          <w:szCs w:val="28"/>
          <w:lang w:val="fr-FR"/>
        </w:rPr>
        <w:t xml:space="preserve"> vous trouverez les éléments suivants :</w:t>
      </w:r>
    </w:p>
    <w:p w14:paraId="6E8EF994" w14:textId="77777777" w:rsidR="001A3134" w:rsidRPr="00F45B96" w:rsidRDefault="001A3134" w:rsidP="001A3134">
      <w:pPr>
        <w:pStyle w:val="Paragraphedeliste"/>
        <w:numPr>
          <w:ilvl w:val="0"/>
          <w:numId w:val="6"/>
        </w:numPr>
        <w:rPr>
          <w:lang w:val="fr-FR"/>
        </w:rPr>
      </w:pPr>
      <w:r w:rsidRPr="00F45B96">
        <w:rPr>
          <w:lang w:val="fr-FR"/>
        </w:rPr>
        <w:t>Précisions en ce qui concerne les apprentissages à mettre en place avant la fin de l’année</w:t>
      </w:r>
    </w:p>
    <w:p w14:paraId="7E09A7E9" w14:textId="77777777" w:rsidR="001A3134" w:rsidRPr="00F45B96" w:rsidRDefault="001A3134" w:rsidP="001A3134">
      <w:pPr>
        <w:pStyle w:val="Paragraphedeliste"/>
        <w:numPr>
          <w:ilvl w:val="0"/>
          <w:numId w:val="6"/>
        </w:numPr>
        <w:rPr>
          <w:lang w:val="fr-FR"/>
        </w:rPr>
      </w:pPr>
      <w:r w:rsidRPr="00F45B96">
        <w:rPr>
          <w:lang w:val="fr-FR"/>
        </w:rPr>
        <w:t>Contacts utiles</w:t>
      </w:r>
    </w:p>
    <w:p w14:paraId="537B8D4E" w14:textId="77777777" w:rsidR="001A3134" w:rsidRPr="00021124" w:rsidRDefault="001A3134" w:rsidP="001A3134">
      <w:pPr>
        <w:pStyle w:val="Paragraphedeliste"/>
        <w:numPr>
          <w:ilvl w:val="0"/>
          <w:numId w:val="6"/>
        </w:numPr>
        <w:rPr>
          <w:lang w:val="fr-FR"/>
        </w:rPr>
      </w:pPr>
      <w:r w:rsidRPr="00021124">
        <w:rPr>
          <w:lang w:val="fr-FR"/>
        </w:rPr>
        <w:t>Tableau : les essentiels des apprentissages d’ici juin 2020</w:t>
      </w:r>
    </w:p>
    <w:p w14:paraId="45E8C652" w14:textId="77777777" w:rsidR="001A3134" w:rsidRPr="00F45B96" w:rsidRDefault="001A3134" w:rsidP="001A3134">
      <w:pPr>
        <w:pStyle w:val="Paragraphedeliste"/>
        <w:numPr>
          <w:ilvl w:val="0"/>
          <w:numId w:val="6"/>
        </w:numPr>
        <w:rPr>
          <w:lang w:val="fr-FR"/>
        </w:rPr>
      </w:pPr>
      <w:r w:rsidRPr="00F45B96">
        <w:rPr>
          <w:lang w:val="fr-FR"/>
        </w:rPr>
        <w:t>Notes et conseils pour utiliser efficacement les situations d’apprentissage dans le cadre de cours à distance</w:t>
      </w:r>
    </w:p>
    <w:p w14:paraId="0E0D2197" w14:textId="77777777" w:rsidR="001A3134" w:rsidRDefault="001A3134" w:rsidP="001A3134">
      <w:pPr>
        <w:ind w:left="360"/>
        <w:rPr>
          <w:b/>
          <w:bCs/>
          <w:sz w:val="28"/>
          <w:szCs w:val="28"/>
          <w:lang w:val="fr-FR"/>
        </w:rPr>
      </w:pPr>
    </w:p>
    <w:p w14:paraId="28CE639E" w14:textId="77777777" w:rsidR="001A3134" w:rsidRPr="00021124" w:rsidRDefault="001A3134" w:rsidP="001A3134">
      <w:pPr>
        <w:pStyle w:val="Paragraphedeliste"/>
        <w:numPr>
          <w:ilvl w:val="0"/>
          <w:numId w:val="3"/>
        </w:numPr>
        <w:rPr>
          <w:b/>
          <w:bCs/>
          <w:sz w:val="28"/>
          <w:szCs w:val="28"/>
          <w:lang w:val="fr-FR"/>
        </w:rPr>
      </w:pPr>
      <w:r w:rsidRPr="00021124">
        <w:rPr>
          <w:b/>
          <w:bCs/>
          <w:sz w:val="28"/>
          <w:szCs w:val="28"/>
          <w:lang w:val="fr-FR"/>
        </w:rPr>
        <w:t>Précisions en ce qui concerne les apprentissages à mettre en place avant la fin de l’année</w:t>
      </w:r>
    </w:p>
    <w:p w14:paraId="10D05C00" w14:textId="77777777" w:rsidR="001A3134" w:rsidRDefault="001A3134" w:rsidP="001A3134">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246616F0" w14:textId="77777777" w:rsidR="001A3134" w:rsidRPr="00F867E7" w:rsidRDefault="001A3134" w:rsidP="001A3134">
      <w:pPr>
        <w:rPr>
          <w:b/>
          <w:bCs/>
          <w:lang w:val="fr-FR"/>
        </w:rPr>
      </w:pPr>
      <w:r w:rsidRPr="00F867E7">
        <w:rPr>
          <w:b/>
          <w:bCs/>
          <w:lang w:val="fr-FR"/>
        </w:rPr>
        <w:t>Comment mettre en évidence les priorités des apprentissages d’ici la fin de l’année ?</w:t>
      </w:r>
    </w:p>
    <w:p w14:paraId="7B8AABBB" w14:textId="77777777" w:rsidR="001A3134" w:rsidRPr="00F867E7" w:rsidRDefault="001A3134" w:rsidP="001A3134">
      <w:pPr>
        <w:pStyle w:val="Paragraphedeliste"/>
        <w:numPr>
          <w:ilvl w:val="0"/>
          <w:numId w:val="4"/>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11EB2E21" w14:textId="77777777" w:rsidR="001A3134" w:rsidRDefault="001A3134" w:rsidP="001A3134">
      <w:pPr>
        <w:pStyle w:val="Paragraphedeliste"/>
        <w:numPr>
          <w:ilvl w:val="0"/>
          <w:numId w:val="4"/>
        </w:numPr>
        <w:rPr>
          <w:lang w:val="fr-FR"/>
        </w:rPr>
      </w:pPr>
      <w:r w:rsidRPr="00F867E7">
        <w:rPr>
          <w:lang w:val="fr-FR"/>
        </w:rPr>
        <w:t>Cochez ces éléments.</w:t>
      </w:r>
    </w:p>
    <w:p w14:paraId="065571F2" w14:textId="77777777" w:rsidR="001A3134" w:rsidRDefault="001A3134" w:rsidP="001A3134">
      <w:pPr>
        <w:pStyle w:val="Paragraphedeliste"/>
        <w:numPr>
          <w:ilvl w:val="0"/>
          <w:numId w:val="4"/>
        </w:numPr>
        <w:rPr>
          <w:lang w:val="fr-FR"/>
        </w:rPr>
      </w:pPr>
      <w:r>
        <w:rPr>
          <w:lang w:val="fr-FR"/>
        </w:rPr>
        <w:t>Vous avez maintenant une vue des éléments qui n’ont pas encore été appris ou pour lesquels vous ne disposez pas d’information à propos du niveau de maitrise.</w:t>
      </w:r>
    </w:p>
    <w:p w14:paraId="17010F1B" w14:textId="77777777" w:rsidR="001A3134" w:rsidRDefault="001A3134" w:rsidP="001A3134"/>
    <w:p w14:paraId="1EAD4F82" w14:textId="77777777" w:rsidR="001A3134" w:rsidRPr="00F45B96" w:rsidRDefault="001A3134" w:rsidP="001A3134">
      <w:pPr>
        <w:pStyle w:val="Paragraphedeliste"/>
        <w:numPr>
          <w:ilvl w:val="0"/>
          <w:numId w:val="3"/>
        </w:numPr>
        <w:rPr>
          <w:b/>
          <w:bCs/>
          <w:sz w:val="28"/>
          <w:szCs w:val="28"/>
          <w:lang w:val="fr-FR"/>
        </w:rPr>
      </w:pPr>
      <w:r w:rsidRPr="00F45B96">
        <w:rPr>
          <w:b/>
          <w:bCs/>
          <w:sz w:val="28"/>
          <w:szCs w:val="28"/>
          <w:lang w:val="fr-FR"/>
        </w:rPr>
        <w:t>Contacts utiles</w:t>
      </w:r>
    </w:p>
    <w:p w14:paraId="79CFF9C0" w14:textId="77777777" w:rsidR="001A3134" w:rsidRDefault="001A3134" w:rsidP="001A3134">
      <w:pPr>
        <w:rPr>
          <w:lang w:val="fr-FR"/>
        </w:rPr>
      </w:pPr>
      <w:r w:rsidRPr="2DB06B5A">
        <w:rPr>
          <w:lang w:val="fr-FR"/>
        </w:rPr>
        <w:t>En cas de problème, n’hésitez pas à prendre contact</w:t>
      </w:r>
    </w:p>
    <w:p w14:paraId="3AAD3E8D" w14:textId="77777777" w:rsidR="001A3134" w:rsidRDefault="001A3134" w:rsidP="001A3134">
      <w:pPr>
        <w:rPr>
          <w:lang w:val="fr-FR"/>
        </w:rPr>
      </w:pPr>
      <w:bookmarkStart w:id="1" w:name="_GoBack"/>
      <w:r w:rsidRPr="2DB06B5A">
        <w:rPr>
          <w:lang w:val="fr-FR"/>
        </w:rPr>
        <w:t>Prioritairement :</w:t>
      </w:r>
    </w:p>
    <w:bookmarkEnd w:id="1"/>
    <w:p w14:paraId="23456E2F" w14:textId="77777777" w:rsidR="001A3134" w:rsidRDefault="001A3134" w:rsidP="001A3134">
      <w:pPr>
        <w:pStyle w:val="Paragraphedeliste"/>
        <w:numPr>
          <w:ilvl w:val="0"/>
          <w:numId w:val="5"/>
        </w:numPr>
        <w:rPr>
          <w:rFonts w:eastAsiaTheme="minorEastAsia"/>
          <w:lang w:val="fr-FR"/>
        </w:rPr>
      </w:pPr>
      <w:r w:rsidRPr="2DB06B5A">
        <w:rPr>
          <w:lang w:val="fr-FR"/>
        </w:rPr>
        <w:t xml:space="preserve">Pour l’EDM : </w:t>
      </w:r>
      <w:hyperlink r:id="rId12">
        <w:r w:rsidRPr="2DB06B5A">
          <w:rPr>
            <w:rStyle w:val="Lienhypertexte"/>
            <w:lang w:val="fr-FR"/>
          </w:rPr>
          <w:t>marianne.quitin@segec.be</w:t>
        </w:r>
      </w:hyperlink>
    </w:p>
    <w:p w14:paraId="39A0B513" w14:textId="77777777" w:rsidR="001A3134" w:rsidRDefault="001A3134" w:rsidP="001A3134">
      <w:pPr>
        <w:pStyle w:val="Paragraphedeliste"/>
        <w:numPr>
          <w:ilvl w:val="0"/>
          <w:numId w:val="5"/>
        </w:numPr>
        <w:rPr>
          <w:rFonts w:eastAsiaTheme="minorEastAsia"/>
          <w:lang w:val="fr-FR"/>
        </w:rPr>
      </w:pPr>
      <w:r w:rsidRPr="2DB06B5A">
        <w:rPr>
          <w:lang w:val="fr-FR"/>
        </w:rPr>
        <w:t xml:space="preserve">Pour la formation historique et géographique (qualifiant): </w:t>
      </w:r>
      <w:r>
        <w:rPr>
          <w:lang w:val="fr-FR"/>
        </w:rPr>
        <w:br/>
      </w:r>
      <w:hyperlink r:id="rId13" w:history="1">
        <w:r w:rsidRPr="006C7ADC">
          <w:rPr>
            <w:rStyle w:val="Lienhypertexte"/>
            <w:lang w:val="fr-FR"/>
          </w:rPr>
          <w:t>axelle.delval@segec.be</w:t>
        </w:r>
      </w:hyperlink>
      <w:r w:rsidRPr="2DB06B5A">
        <w:rPr>
          <w:lang w:val="fr-FR"/>
        </w:rPr>
        <w:t xml:space="preserve"> ou </w:t>
      </w:r>
      <w:hyperlink r:id="rId14">
        <w:r w:rsidRPr="2DB06B5A">
          <w:rPr>
            <w:rStyle w:val="Lienhypertexte"/>
            <w:lang w:val="fr-FR"/>
          </w:rPr>
          <w:t>celine.demoustier@segec.be</w:t>
        </w:r>
      </w:hyperlink>
      <w:r w:rsidRPr="2DB06B5A">
        <w:rPr>
          <w:lang w:val="fr-FR"/>
        </w:rPr>
        <w:t xml:space="preserve"> </w:t>
      </w:r>
    </w:p>
    <w:p w14:paraId="654F75FD" w14:textId="77777777" w:rsidR="001A3134" w:rsidRDefault="001A3134" w:rsidP="001A3134">
      <w:pPr>
        <w:pStyle w:val="Paragraphedeliste"/>
        <w:numPr>
          <w:ilvl w:val="0"/>
          <w:numId w:val="5"/>
        </w:numPr>
        <w:rPr>
          <w:rFonts w:eastAsiaTheme="minorEastAsia"/>
          <w:lang w:val="fr-FR"/>
        </w:rPr>
      </w:pPr>
      <w:r w:rsidRPr="2DB06B5A">
        <w:rPr>
          <w:lang w:val="fr-FR"/>
        </w:rPr>
        <w:t xml:space="preserve">Pour l’histoire : </w:t>
      </w:r>
      <w:hyperlink r:id="rId15">
        <w:r w:rsidRPr="2DB06B5A">
          <w:rPr>
            <w:rStyle w:val="Lienhypertexte"/>
            <w:lang w:val="fr-FR"/>
          </w:rPr>
          <w:t>pascale.lambrechts@segec.be</w:t>
        </w:r>
      </w:hyperlink>
      <w:r w:rsidRPr="2DB06B5A">
        <w:rPr>
          <w:lang w:val="fr-FR"/>
        </w:rPr>
        <w:t xml:space="preserve"> ou </w:t>
      </w:r>
      <w:hyperlink r:id="rId16">
        <w:r w:rsidRPr="2DB06B5A">
          <w:rPr>
            <w:rStyle w:val="Lienhypertexte"/>
            <w:lang w:val="fr-FR"/>
          </w:rPr>
          <w:t>celine.demoustier@segec.be</w:t>
        </w:r>
      </w:hyperlink>
    </w:p>
    <w:p w14:paraId="346E4DD1" w14:textId="77777777" w:rsidR="001A3134" w:rsidRDefault="001A3134" w:rsidP="001A3134">
      <w:pPr>
        <w:pStyle w:val="Paragraphedeliste"/>
        <w:numPr>
          <w:ilvl w:val="0"/>
          <w:numId w:val="5"/>
        </w:numPr>
        <w:rPr>
          <w:rFonts w:eastAsiaTheme="minorEastAsia"/>
          <w:lang w:val="fr-FR"/>
        </w:rPr>
      </w:pPr>
      <w:r w:rsidRPr="2DB06B5A">
        <w:rPr>
          <w:lang w:val="fr-FR"/>
        </w:rPr>
        <w:t xml:space="preserve">Pour la formation géographique : </w:t>
      </w:r>
      <w:hyperlink r:id="rId17">
        <w:r w:rsidRPr="2DB06B5A">
          <w:rPr>
            <w:rStyle w:val="Lienhypertexte"/>
            <w:lang w:val="fr-FR"/>
          </w:rPr>
          <w:t>marc.deprez@segec.be</w:t>
        </w:r>
      </w:hyperlink>
    </w:p>
    <w:bookmarkEnd w:id="0"/>
    <w:p w14:paraId="06AC1BC7" w14:textId="77777777" w:rsidR="003B46B6" w:rsidRDefault="003B46B6">
      <w:r>
        <w:br w:type="page"/>
      </w:r>
    </w:p>
    <w:p w14:paraId="13B25466" w14:textId="77777777" w:rsidR="001A3134" w:rsidRDefault="001A3134" w:rsidP="001A3134">
      <w:pPr>
        <w:pStyle w:val="Paragraphedeliste"/>
        <w:numPr>
          <w:ilvl w:val="0"/>
          <w:numId w:val="3"/>
        </w:numPr>
        <w:rPr>
          <w:b/>
          <w:bCs/>
          <w:sz w:val="28"/>
          <w:szCs w:val="28"/>
          <w:lang w:val="fr-FR"/>
        </w:rPr>
      </w:pPr>
      <w:bookmarkStart w:id="2" w:name="_Hlk37952874"/>
      <w:bookmarkStart w:id="3"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2"/>
    </w:p>
    <w:bookmarkEnd w:id="3"/>
    <w:p w14:paraId="3B5C7BE3" w14:textId="77777777" w:rsidR="003B46B6" w:rsidRPr="001A3134" w:rsidRDefault="003B46B6" w:rsidP="001A3134">
      <w:pPr>
        <w:rPr>
          <w:sz w:val="20"/>
          <w:szCs w:val="20"/>
          <w:lang w:val="fr-FR"/>
        </w:rPr>
      </w:pPr>
      <w:r w:rsidRPr="001A3134">
        <w:rPr>
          <w:sz w:val="20"/>
          <w:szCs w:val="20"/>
          <w:lang w:val="fr-FR"/>
        </w:rPr>
        <w:t>Cochez ce qui a déjà été appris et validé, ce qui reste constitue les priorités d’ici la fin de l’année.</w:t>
      </w:r>
    </w:p>
    <w:tbl>
      <w:tblPr>
        <w:tblStyle w:val="Grilledutableau"/>
        <w:tblW w:w="10490" w:type="dxa"/>
        <w:tblInd w:w="-572" w:type="dxa"/>
        <w:tblLook w:val="04A0" w:firstRow="1" w:lastRow="0" w:firstColumn="1" w:lastColumn="0" w:noHBand="0" w:noVBand="1"/>
      </w:tblPr>
      <w:tblGrid>
        <w:gridCol w:w="1507"/>
        <w:gridCol w:w="3455"/>
        <w:gridCol w:w="5528"/>
      </w:tblGrid>
      <w:tr w:rsidR="00E72CF6" w14:paraId="489BCCDA" w14:textId="77777777" w:rsidTr="00E72CF6">
        <w:tc>
          <w:tcPr>
            <w:tcW w:w="1507" w:type="dxa"/>
            <w:shd w:val="clear" w:color="auto" w:fill="D9D9D9" w:themeFill="background1" w:themeFillShade="D9"/>
          </w:tcPr>
          <w:p w14:paraId="66097B18" w14:textId="77777777" w:rsidR="00E72CF6" w:rsidRPr="00A22C90" w:rsidRDefault="00E72CF6" w:rsidP="00F60A88">
            <w:pPr>
              <w:rPr>
                <w:sz w:val="20"/>
                <w:szCs w:val="20"/>
                <w:lang w:val="fr-FR"/>
              </w:rPr>
            </w:pPr>
          </w:p>
        </w:tc>
        <w:tc>
          <w:tcPr>
            <w:tcW w:w="3455" w:type="dxa"/>
            <w:shd w:val="clear" w:color="auto" w:fill="D9D9D9" w:themeFill="background1" w:themeFillShade="D9"/>
          </w:tcPr>
          <w:p w14:paraId="14C43A70" w14:textId="77777777" w:rsidR="00E72CF6" w:rsidRPr="00A22C90" w:rsidRDefault="00E72CF6" w:rsidP="00F60A88">
            <w:pPr>
              <w:rPr>
                <w:sz w:val="20"/>
                <w:szCs w:val="20"/>
                <w:lang w:val="fr-FR"/>
              </w:rPr>
            </w:pPr>
            <w:r w:rsidRPr="00A22C90">
              <w:rPr>
                <w:sz w:val="20"/>
                <w:szCs w:val="20"/>
                <w:lang w:val="fr-FR"/>
              </w:rPr>
              <w:t>Compétences et savoir-faire</w:t>
            </w:r>
          </w:p>
        </w:tc>
        <w:tc>
          <w:tcPr>
            <w:tcW w:w="5528" w:type="dxa"/>
            <w:shd w:val="clear" w:color="auto" w:fill="D9D9D9" w:themeFill="background1" w:themeFillShade="D9"/>
          </w:tcPr>
          <w:p w14:paraId="470291AF" w14:textId="77777777" w:rsidR="00E72CF6" w:rsidRPr="00A22C90" w:rsidRDefault="00E72CF6" w:rsidP="00F60A88">
            <w:pPr>
              <w:rPr>
                <w:sz w:val="20"/>
                <w:szCs w:val="20"/>
                <w:lang w:val="fr-FR"/>
              </w:rPr>
            </w:pPr>
            <w:r w:rsidRPr="00A22C90">
              <w:rPr>
                <w:sz w:val="20"/>
                <w:szCs w:val="20"/>
                <w:lang w:val="fr-FR"/>
              </w:rPr>
              <w:t>Types de productions attendues</w:t>
            </w:r>
          </w:p>
        </w:tc>
      </w:tr>
      <w:tr w:rsidR="00E72CF6" w14:paraId="34AA996A" w14:textId="77777777" w:rsidTr="00E72CF6">
        <w:tc>
          <w:tcPr>
            <w:tcW w:w="1507" w:type="dxa"/>
          </w:tcPr>
          <w:p w14:paraId="1C0E9EB7" w14:textId="77777777" w:rsidR="00E72CF6" w:rsidRPr="00A22C90" w:rsidRDefault="00E72CF6" w:rsidP="00F60A88">
            <w:pPr>
              <w:rPr>
                <w:sz w:val="20"/>
                <w:szCs w:val="20"/>
                <w:lang w:val="fr-FR"/>
              </w:rPr>
            </w:pPr>
            <w:r w:rsidRPr="006105C8">
              <w:rPr>
                <w:b/>
                <w:bCs/>
                <w:sz w:val="20"/>
                <w:szCs w:val="20"/>
                <w:lang w:val="fr-FR"/>
              </w:rPr>
              <w:t>Ce que l’élève peut faire comme analyse spatiale sur des cas nouveaux</w:t>
            </w:r>
            <w:r>
              <w:rPr>
                <w:sz w:val="20"/>
                <w:szCs w:val="20"/>
                <w:lang w:val="fr-FR"/>
              </w:rPr>
              <w:t xml:space="preserve"> </w:t>
            </w:r>
          </w:p>
        </w:tc>
        <w:tc>
          <w:tcPr>
            <w:tcW w:w="3455" w:type="dxa"/>
          </w:tcPr>
          <w:p w14:paraId="77EB8BF3" w14:textId="77777777" w:rsidR="00E72CF6" w:rsidRPr="00387F6B" w:rsidRDefault="00E72CF6" w:rsidP="00F60A88">
            <w:pPr>
              <w:ind w:left="-75"/>
              <w:rPr>
                <w:i/>
                <w:iCs/>
                <w:sz w:val="20"/>
                <w:szCs w:val="20"/>
                <w:lang w:val="fr-FR"/>
              </w:rPr>
            </w:pPr>
            <w:r w:rsidRPr="00387F6B">
              <w:rPr>
                <w:i/>
                <w:iCs/>
                <w:sz w:val="20"/>
                <w:szCs w:val="20"/>
                <w:lang w:val="fr-FR"/>
              </w:rPr>
              <w:t>L’élève est capable de réaliser toutes les tâches exercées en 3</w:t>
            </w:r>
            <w:r w:rsidRPr="00387F6B">
              <w:rPr>
                <w:i/>
                <w:iCs/>
                <w:sz w:val="20"/>
                <w:szCs w:val="20"/>
                <w:vertAlign w:val="superscript"/>
                <w:lang w:val="fr-FR"/>
              </w:rPr>
              <w:t>e</w:t>
            </w:r>
            <w:r w:rsidRPr="00387F6B">
              <w:rPr>
                <w:i/>
                <w:iCs/>
                <w:sz w:val="20"/>
                <w:szCs w:val="20"/>
                <w:lang w:val="fr-FR"/>
              </w:rPr>
              <w:t xml:space="preserve"> et 4</w:t>
            </w:r>
            <w:r w:rsidRPr="00387F6B">
              <w:rPr>
                <w:i/>
                <w:iCs/>
                <w:sz w:val="20"/>
                <w:szCs w:val="20"/>
                <w:vertAlign w:val="superscript"/>
                <w:lang w:val="fr-FR"/>
              </w:rPr>
              <w:t>e</w:t>
            </w:r>
            <w:r w:rsidRPr="00387F6B">
              <w:rPr>
                <w:i/>
                <w:iCs/>
                <w:sz w:val="20"/>
                <w:szCs w:val="20"/>
                <w:lang w:val="fr-FR"/>
              </w:rPr>
              <w:t xml:space="preserve"> années en les appliquant </w:t>
            </w:r>
            <w:r>
              <w:rPr>
                <w:i/>
                <w:iCs/>
                <w:sz w:val="20"/>
                <w:szCs w:val="20"/>
                <w:lang w:val="fr-FR"/>
              </w:rPr>
              <w:t xml:space="preserve">aux fonctions d’un territoire </w:t>
            </w:r>
            <w:r w:rsidRPr="00387F6B">
              <w:rPr>
                <w:i/>
                <w:iCs/>
                <w:sz w:val="20"/>
                <w:szCs w:val="20"/>
                <w:lang w:val="fr-FR"/>
              </w:rPr>
              <w:t>(décrire des répartitions, des dynamiques spatiales, des occupations du sol et des aménagements) et ce sur la base de représentations de l’espace ou d’informations à propos d’un aménagement.</w:t>
            </w:r>
          </w:p>
          <w:p w14:paraId="2264CF55" w14:textId="77777777" w:rsidR="00E72CF6" w:rsidRPr="00A22C90" w:rsidRDefault="00E72CF6" w:rsidP="00F60A88">
            <w:pPr>
              <w:ind w:left="-75"/>
              <w:rPr>
                <w:sz w:val="20"/>
                <w:szCs w:val="20"/>
                <w:lang w:val="fr-FR"/>
              </w:rPr>
            </w:pPr>
            <w:r w:rsidRPr="0026441E">
              <w:rPr>
                <w:sz w:val="20"/>
                <w:szCs w:val="20"/>
                <w:lang w:val="fr-FR"/>
              </w:rPr>
              <w:t xml:space="preserve">Les </w:t>
            </w:r>
            <w:r>
              <w:rPr>
                <w:sz w:val="20"/>
                <w:szCs w:val="20"/>
                <w:lang w:val="fr-FR"/>
              </w:rPr>
              <w:t>compétences</w:t>
            </w:r>
            <w:r w:rsidRPr="0026441E">
              <w:rPr>
                <w:sz w:val="20"/>
                <w:szCs w:val="20"/>
                <w:lang w:val="fr-FR"/>
              </w:rPr>
              <w:t xml:space="preserve"> spécifiques de la </w:t>
            </w:r>
            <w:r>
              <w:rPr>
                <w:sz w:val="20"/>
                <w:szCs w:val="20"/>
                <w:lang w:val="fr-FR"/>
              </w:rPr>
              <w:t>6</w:t>
            </w:r>
            <w:r w:rsidRPr="0026441E">
              <w:rPr>
                <w:sz w:val="20"/>
                <w:szCs w:val="20"/>
                <w:vertAlign w:val="superscript"/>
                <w:lang w:val="fr-FR"/>
              </w:rPr>
              <w:t>e</w:t>
            </w:r>
            <w:r w:rsidRPr="0026441E">
              <w:rPr>
                <w:sz w:val="20"/>
                <w:szCs w:val="20"/>
                <w:lang w:val="fr-FR"/>
              </w:rPr>
              <w:t xml:space="preserve"> année portent sur la mobilisation de </w:t>
            </w:r>
            <w:r>
              <w:rPr>
                <w:sz w:val="20"/>
                <w:szCs w:val="20"/>
                <w:lang w:val="fr-FR"/>
              </w:rPr>
              <w:t>la</w:t>
            </w:r>
            <w:r w:rsidRPr="0026441E">
              <w:rPr>
                <w:sz w:val="20"/>
                <w:szCs w:val="20"/>
                <w:lang w:val="fr-FR"/>
              </w:rPr>
              <w:t xml:space="preserve"> démarche géographique</w:t>
            </w:r>
            <w:r>
              <w:rPr>
                <w:sz w:val="20"/>
                <w:szCs w:val="20"/>
                <w:lang w:val="fr-FR"/>
              </w:rPr>
              <w:t xml:space="preserve"> (décrire et comparer des répartitions)</w:t>
            </w:r>
            <w:r w:rsidRPr="0026441E">
              <w:rPr>
                <w:sz w:val="20"/>
                <w:szCs w:val="20"/>
                <w:lang w:val="fr-FR"/>
              </w:rPr>
              <w:t xml:space="preserve"> pour </w:t>
            </w:r>
            <w:r>
              <w:rPr>
                <w:sz w:val="20"/>
                <w:szCs w:val="20"/>
                <w:lang w:val="fr-FR"/>
              </w:rPr>
              <w:t>identifier des besoins, justifier des aménagements, expliciter le concept de développement durable ou la notion de conflit d’usage, évaluer l’appartenance à un modèle spatial ou identifier des espaces de vulnérabilité et/ou de potentialités</w:t>
            </w:r>
          </w:p>
        </w:tc>
        <w:tc>
          <w:tcPr>
            <w:tcW w:w="5528" w:type="dxa"/>
          </w:tcPr>
          <w:p w14:paraId="1072B2A5" w14:textId="77777777" w:rsidR="00E72CF6" w:rsidRPr="007B2481" w:rsidRDefault="00E72CF6" w:rsidP="00F60A88">
            <w:pPr>
              <w:rPr>
                <w:i/>
                <w:iCs/>
                <w:sz w:val="20"/>
                <w:szCs w:val="20"/>
                <w:lang w:val="fr-FR"/>
              </w:rPr>
            </w:pPr>
            <w:r w:rsidRPr="007B2481">
              <w:rPr>
                <w:sz w:val="20"/>
                <w:szCs w:val="20"/>
                <w:lang w:val="fr-FR"/>
              </w:rPr>
              <w:t>Celles prévues au 2</w:t>
            </w:r>
            <w:r w:rsidRPr="007B2481">
              <w:rPr>
                <w:sz w:val="20"/>
                <w:szCs w:val="20"/>
                <w:vertAlign w:val="superscript"/>
                <w:lang w:val="fr-FR"/>
              </w:rPr>
              <w:t>e</w:t>
            </w:r>
            <w:r w:rsidRPr="007B2481">
              <w:rPr>
                <w:sz w:val="20"/>
                <w:szCs w:val="20"/>
                <w:lang w:val="fr-FR"/>
              </w:rPr>
              <w:t xml:space="preserve"> degré +</w:t>
            </w:r>
          </w:p>
          <w:p w14:paraId="1B3C115A" w14:textId="77777777" w:rsidR="00E72CF6" w:rsidRDefault="00E72CF6" w:rsidP="00F60A88">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Identifier des besoins ou des actions en termes d’aménagement du territoire en caractérisant l’accès à une fonction</w:t>
            </w:r>
          </w:p>
          <w:p w14:paraId="6A726004" w14:textId="77777777" w:rsidR="00E72CF6" w:rsidRPr="00E72CF6" w:rsidRDefault="00700720" w:rsidP="00E72CF6">
            <w:pPr>
              <w:pStyle w:val="Paragraphedeliste"/>
              <w:numPr>
                <w:ilvl w:val="0"/>
                <w:numId w:val="1"/>
              </w:numPr>
              <w:jc w:val="right"/>
              <w:rPr>
                <w:sz w:val="20"/>
                <w:szCs w:val="20"/>
                <w:lang w:val="fr-FR"/>
              </w:rPr>
            </w:pPr>
            <w:hyperlink r:id="rId18" w:history="1">
              <w:r w:rsidR="00E72CF6" w:rsidRPr="00E72CF6">
                <w:rPr>
                  <w:rStyle w:val="Lienhypertexte"/>
                  <w:sz w:val="20"/>
                  <w:szCs w:val="20"/>
                  <w:lang w:val="fr-FR"/>
                </w:rPr>
                <w:t>Le cas des hôpitaux en Belgique</w:t>
              </w:r>
            </w:hyperlink>
          </w:p>
          <w:p w14:paraId="40DA6DBE" w14:textId="77777777" w:rsidR="00E72CF6" w:rsidRDefault="00E72CF6" w:rsidP="00F60A88">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Justifier un aménagement du territoire en identifiant des atouts et/ou des contraintes</w:t>
            </w:r>
          </w:p>
          <w:p w14:paraId="16B0E845" w14:textId="77777777" w:rsidR="00E72CF6" w:rsidRPr="00E72CF6" w:rsidRDefault="00700720" w:rsidP="00E72CF6">
            <w:pPr>
              <w:pStyle w:val="Paragraphedeliste"/>
              <w:numPr>
                <w:ilvl w:val="0"/>
                <w:numId w:val="1"/>
              </w:numPr>
              <w:jc w:val="right"/>
              <w:rPr>
                <w:sz w:val="20"/>
                <w:szCs w:val="20"/>
                <w:lang w:val="fr-FR"/>
              </w:rPr>
            </w:pPr>
            <w:hyperlink r:id="rId19" w:history="1">
              <w:r w:rsidR="00E72CF6" w:rsidRPr="00E72CF6">
                <w:rPr>
                  <w:rStyle w:val="Lienhypertexte"/>
                  <w:sz w:val="20"/>
                  <w:szCs w:val="20"/>
                  <w:lang w:val="fr-FR"/>
                </w:rPr>
                <w:t>Le cas du contournement de Couvin</w:t>
              </w:r>
            </w:hyperlink>
            <w:r w:rsidR="00E72CF6" w:rsidRPr="00E72CF6">
              <w:rPr>
                <w:sz w:val="20"/>
                <w:szCs w:val="20"/>
                <w:lang w:val="fr-FR"/>
              </w:rPr>
              <w:t xml:space="preserve"> (ou Ypres)</w:t>
            </w:r>
          </w:p>
          <w:p w14:paraId="1BCB552B" w14:textId="77777777" w:rsidR="00E72CF6" w:rsidRDefault="00E72CF6" w:rsidP="00F60A88">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Justifier un choix d’aménagement du territoire en identifiant des vulnérabilités et/ou des potentialités spatiales</w:t>
            </w:r>
          </w:p>
          <w:p w14:paraId="628F0BA4" w14:textId="77777777" w:rsidR="00E72CF6" w:rsidRPr="00E72CF6" w:rsidRDefault="00700720" w:rsidP="00F60A88">
            <w:pPr>
              <w:pStyle w:val="Paragraphedeliste"/>
              <w:numPr>
                <w:ilvl w:val="0"/>
                <w:numId w:val="1"/>
              </w:numPr>
              <w:jc w:val="right"/>
              <w:rPr>
                <w:sz w:val="20"/>
                <w:szCs w:val="20"/>
                <w:lang w:val="fr-FR"/>
              </w:rPr>
            </w:pPr>
            <w:hyperlink r:id="rId20" w:history="1">
              <w:r w:rsidR="00E72CF6" w:rsidRPr="002F1DDA">
                <w:rPr>
                  <w:rStyle w:val="Lienhypertexte"/>
                  <w:sz w:val="20"/>
                  <w:szCs w:val="20"/>
                  <w:lang w:val="fr-FR"/>
                </w:rPr>
                <w:t>Le cas du contournement de Couvin (ou Ypres)</w:t>
              </w:r>
            </w:hyperlink>
          </w:p>
          <w:p w14:paraId="24BE7530" w14:textId="77777777" w:rsidR="00E72CF6" w:rsidRDefault="00E72CF6" w:rsidP="00F60A88">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Expliciter le concept de développement et de développement durable en mettant en évidence des effets d’un aménagement du territoire sur l’environnement</w:t>
            </w:r>
          </w:p>
          <w:p w14:paraId="39A2676A" w14:textId="77777777" w:rsidR="00E72CF6" w:rsidRPr="00F2603F" w:rsidRDefault="00E72CF6" w:rsidP="00F60A88">
            <w:pPr>
              <w:rPr>
                <w:sz w:val="20"/>
                <w:szCs w:val="20"/>
                <w:lang w:val="fr-FR"/>
              </w:rPr>
            </w:pPr>
          </w:p>
          <w:p w14:paraId="26661118" w14:textId="77777777" w:rsidR="00E72CF6" w:rsidRPr="00F2603F" w:rsidRDefault="00E72CF6" w:rsidP="00E72CF6">
            <w:pPr>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Expliciter la notion de conflit d’usage en identifiant les fonctions d’un territoire et/ou les intentions des acteurs concernées par un aménagement du territoire</w:t>
            </w:r>
          </w:p>
        </w:tc>
      </w:tr>
      <w:tr w:rsidR="00E72CF6" w14:paraId="47AE1F30" w14:textId="77777777" w:rsidTr="00E72CF6">
        <w:tc>
          <w:tcPr>
            <w:tcW w:w="1507" w:type="dxa"/>
            <w:shd w:val="clear" w:color="auto" w:fill="D9D9D9" w:themeFill="background1" w:themeFillShade="D9"/>
          </w:tcPr>
          <w:p w14:paraId="0FCC4D3B" w14:textId="77777777" w:rsidR="00E72CF6" w:rsidRPr="00A22C90" w:rsidRDefault="00E72CF6" w:rsidP="00F60A88">
            <w:pPr>
              <w:rPr>
                <w:sz w:val="20"/>
                <w:szCs w:val="20"/>
                <w:lang w:val="fr-FR"/>
              </w:rPr>
            </w:pPr>
          </w:p>
        </w:tc>
        <w:tc>
          <w:tcPr>
            <w:tcW w:w="3455" w:type="dxa"/>
            <w:shd w:val="clear" w:color="auto" w:fill="D9D9D9" w:themeFill="background1" w:themeFillShade="D9"/>
          </w:tcPr>
          <w:p w14:paraId="2BBB7C1E" w14:textId="77777777" w:rsidR="00E72CF6" w:rsidRPr="00A22C90" w:rsidRDefault="00E72CF6" w:rsidP="00F60A88">
            <w:pPr>
              <w:rPr>
                <w:sz w:val="20"/>
                <w:szCs w:val="20"/>
              </w:rPr>
            </w:pPr>
            <w:r w:rsidRPr="00A22C90">
              <w:rPr>
                <w:sz w:val="20"/>
                <w:szCs w:val="20"/>
              </w:rPr>
              <w:t>Savoirs</w:t>
            </w:r>
          </w:p>
        </w:tc>
        <w:tc>
          <w:tcPr>
            <w:tcW w:w="5528" w:type="dxa"/>
            <w:shd w:val="clear" w:color="auto" w:fill="D9D9D9" w:themeFill="background1" w:themeFillShade="D9"/>
          </w:tcPr>
          <w:p w14:paraId="529560C4" w14:textId="77777777" w:rsidR="00E72CF6" w:rsidRPr="00A22C90" w:rsidRDefault="00E72CF6" w:rsidP="00F60A88">
            <w:pPr>
              <w:rPr>
                <w:sz w:val="20"/>
                <w:szCs w:val="20"/>
                <w:lang w:val="fr-FR"/>
              </w:rPr>
            </w:pPr>
            <w:r w:rsidRPr="00A22C90">
              <w:rPr>
                <w:sz w:val="20"/>
                <w:szCs w:val="20"/>
                <w:lang w:val="fr-FR"/>
              </w:rPr>
              <w:t>Attendus</w:t>
            </w:r>
          </w:p>
        </w:tc>
      </w:tr>
      <w:tr w:rsidR="00E72CF6" w14:paraId="477AC7F8" w14:textId="77777777" w:rsidTr="00E72CF6">
        <w:tc>
          <w:tcPr>
            <w:tcW w:w="1507" w:type="dxa"/>
            <w:vAlign w:val="center"/>
          </w:tcPr>
          <w:p w14:paraId="7DEF420F" w14:textId="77777777" w:rsidR="00E72CF6" w:rsidRPr="00A44F44" w:rsidRDefault="00E72CF6" w:rsidP="00F60A88">
            <w:pPr>
              <w:jc w:val="center"/>
              <w:rPr>
                <w:b/>
                <w:bCs/>
                <w:sz w:val="20"/>
                <w:szCs w:val="20"/>
                <w:lang w:val="fr-FR"/>
              </w:rPr>
            </w:pPr>
            <w:r w:rsidRPr="00A44F44">
              <w:rPr>
                <w:b/>
                <w:bCs/>
                <w:sz w:val="20"/>
                <w:szCs w:val="20"/>
                <w:lang w:val="fr-FR"/>
              </w:rPr>
              <w:t>Répartitions spatiales / repères spatiaux</w:t>
            </w:r>
          </w:p>
        </w:tc>
        <w:tc>
          <w:tcPr>
            <w:tcW w:w="3455" w:type="dxa"/>
          </w:tcPr>
          <w:p w14:paraId="5EC6408B" w14:textId="77777777" w:rsidR="00E72CF6" w:rsidRDefault="00E72CF6" w:rsidP="00F60A88">
            <w:pPr>
              <w:rPr>
                <w:sz w:val="20"/>
                <w:szCs w:val="20"/>
                <w:lang w:val="fr-FR"/>
              </w:rPr>
            </w:pPr>
            <w:r>
              <w:rPr>
                <w:sz w:val="20"/>
                <w:szCs w:val="20"/>
                <w:lang w:val="fr-FR"/>
              </w:rPr>
              <w:t xml:space="preserve">+ </w:t>
            </w:r>
            <w:r w:rsidRPr="00F55978">
              <w:rPr>
                <w:sz w:val="20"/>
                <w:szCs w:val="20"/>
                <w:lang w:val="fr-FR"/>
              </w:rPr>
              <w:t>les principaux espaces peuplés et peu peuplé</w:t>
            </w:r>
          </w:p>
          <w:p w14:paraId="76A70184" w14:textId="77777777" w:rsidR="00E72CF6" w:rsidRPr="00387F6B" w:rsidRDefault="00E72CF6" w:rsidP="00F60A88">
            <w:pPr>
              <w:rPr>
                <w:i/>
                <w:iCs/>
                <w:sz w:val="20"/>
                <w:szCs w:val="20"/>
                <w:lang w:val="fr-FR"/>
              </w:rPr>
            </w:pPr>
            <w:r w:rsidRPr="00387F6B">
              <w:rPr>
                <w:i/>
                <w:iCs/>
                <w:sz w:val="20"/>
                <w:szCs w:val="20"/>
                <w:lang w:val="fr-FR"/>
              </w:rPr>
              <w:t xml:space="preserve">Réactiver, aux échelles </w:t>
            </w:r>
            <w:r>
              <w:rPr>
                <w:i/>
                <w:iCs/>
                <w:sz w:val="20"/>
                <w:szCs w:val="20"/>
                <w:lang w:val="fr-FR"/>
              </w:rPr>
              <w:t>européenne et belge</w:t>
            </w:r>
            <w:r w:rsidRPr="00387F6B">
              <w:rPr>
                <w:i/>
                <w:iCs/>
                <w:sz w:val="20"/>
                <w:szCs w:val="20"/>
                <w:lang w:val="fr-FR"/>
              </w:rPr>
              <w:t> </w:t>
            </w:r>
            <w:r>
              <w:rPr>
                <w:i/>
                <w:iCs/>
                <w:sz w:val="20"/>
                <w:szCs w:val="20"/>
                <w:lang w:val="fr-FR"/>
              </w:rPr>
              <w:t>(voir 5</w:t>
            </w:r>
            <w:r w:rsidRPr="009C0507">
              <w:rPr>
                <w:i/>
                <w:iCs/>
                <w:sz w:val="20"/>
                <w:szCs w:val="20"/>
                <w:vertAlign w:val="superscript"/>
                <w:lang w:val="fr-FR"/>
              </w:rPr>
              <w:t>e</w:t>
            </w:r>
            <w:r>
              <w:rPr>
                <w:i/>
                <w:iCs/>
                <w:sz w:val="20"/>
                <w:szCs w:val="20"/>
                <w:lang w:val="fr-FR"/>
              </w:rPr>
              <w:t>)</w:t>
            </w:r>
            <w:r w:rsidRPr="00387F6B">
              <w:rPr>
                <w:i/>
                <w:iCs/>
                <w:sz w:val="20"/>
                <w:szCs w:val="20"/>
                <w:lang w:val="fr-FR"/>
              </w:rPr>
              <w:t>:</w:t>
            </w:r>
          </w:p>
          <w:p w14:paraId="7FF209CE" w14:textId="77777777" w:rsidR="00E72CF6" w:rsidRPr="00387F6B" w:rsidRDefault="00E72CF6" w:rsidP="00F60A88">
            <w:pPr>
              <w:rPr>
                <w:i/>
                <w:iCs/>
                <w:sz w:val="20"/>
                <w:szCs w:val="20"/>
                <w:lang w:val="fr-FR"/>
              </w:rPr>
            </w:pPr>
            <w:r w:rsidRPr="00387F6B">
              <w:rPr>
                <w:i/>
                <w:iCs/>
                <w:sz w:val="20"/>
                <w:szCs w:val="20"/>
                <w:lang w:val="fr-FR"/>
              </w:rPr>
              <w:t>- les principaux ensembles orohydrographiques</w:t>
            </w:r>
          </w:p>
          <w:p w14:paraId="036F1090" w14:textId="77777777" w:rsidR="00E72CF6" w:rsidRPr="00A22C90" w:rsidRDefault="00E72CF6" w:rsidP="00F60A88">
            <w:pPr>
              <w:rPr>
                <w:sz w:val="20"/>
                <w:szCs w:val="20"/>
                <w:lang w:val="fr-FR"/>
              </w:rPr>
            </w:pPr>
            <w:r w:rsidRPr="00387F6B">
              <w:rPr>
                <w:i/>
                <w:iCs/>
                <w:sz w:val="20"/>
                <w:szCs w:val="20"/>
                <w:lang w:val="fr-FR"/>
              </w:rPr>
              <w:t>- les principaux ensembles bioclimatiques</w:t>
            </w:r>
          </w:p>
        </w:tc>
        <w:tc>
          <w:tcPr>
            <w:tcW w:w="5528" w:type="dxa"/>
          </w:tcPr>
          <w:p w14:paraId="56DB0701" w14:textId="77777777" w:rsidR="00E72CF6" w:rsidRPr="00F55978" w:rsidRDefault="00E72CF6" w:rsidP="00F60A88">
            <w:pPr>
              <w:rPr>
                <w:sz w:val="20"/>
                <w:szCs w:val="20"/>
                <w:lang w:val="fr-FR"/>
              </w:rPr>
            </w:pPr>
            <w:r>
              <w:rPr>
                <w:lang w:val="fr-FR"/>
              </w:rPr>
              <w:sym w:font="Wingdings" w:char="F06F"/>
            </w:r>
            <w:r w:rsidRPr="001A1ED7">
              <w:rPr>
                <w:sz w:val="20"/>
                <w:szCs w:val="20"/>
                <w:lang w:val="fr-FR"/>
              </w:rPr>
              <w:t xml:space="preserve"> </w:t>
            </w:r>
            <w:r w:rsidRPr="00F55978">
              <w:rPr>
                <w:sz w:val="20"/>
                <w:szCs w:val="20"/>
                <w:lang w:val="fr-FR"/>
              </w:rPr>
              <w:t>L’élève peut localiser et nommer les principales aires urbaines figurées sur une carte.</w:t>
            </w:r>
          </w:p>
          <w:p w14:paraId="2BA88F06" w14:textId="77777777" w:rsidR="00E72CF6" w:rsidRPr="00F55978" w:rsidRDefault="00E72CF6" w:rsidP="00F60A88">
            <w:pPr>
              <w:rPr>
                <w:sz w:val="18"/>
                <w:szCs w:val="18"/>
                <w:lang w:val="fr-FR"/>
              </w:rPr>
            </w:pPr>
            <w:r w:rsidRPr="00F55978">
              <w:rPr>
                <w:sz w:val="20"/>
                <w:szCs w:val="20"/>
                <w:lang w:val="fr-FR"/>
              </w:rPr>
              <w:t xml:space="preserve">Les 15 principales aires urbaines européennes en 2017 (sur base de la population) : </w:t>
            </w:r>
            <w:r w:rsidRPr="00F55978">
              <w:rPr>
                <w:sz w:val="18"/>
                <w:szCs w:val="18"/>
                <w:lang w:val="fr-FR"/>
              </w:rPr>
              <w:t>Moscou, Paris, Londres, Madrid, Barcelone, Saint Pétersbourg, Rome, Berlin, Milan, Athènes, Kiev, Lisbonne, Manchester, Birmingham (West Midlands), Naples.</w:t>
            </w:r>
          </w:p>
          <w:p w14:paraId="7C83B4F7" w14:textId="77777777" w:rsidR="00E72CF6" w:rsidRPr="00F55978" w:rsidRDefault="00E72CF6" w:rsidP="00F60A88">
            <w:pPr>
              <w:rPr>
                <w:sz w:val="18"/>
                <w:szCs w:val="18"/>
                <w:lang w:val="fr-FR"/>
              </w:rPr>
            </w:pPr>
            <w:r>
              <w:rPr>
                <w:sz w:val="20"/>
                <w:szCs w:val="20"/>
                <w:lang w:val="fr-FR"/>
              </w:rPr>
              <w:t>L</w:t>
            </w:r>
            <w:r w:rsidRPr="00F55978">
              <w:rPr>
                <w:sz w:val="20"/>
                <w:szCs w:val="20"/>
                <w:lang w:val="fr-FR"/>
              </w:rPr>
              <w:t xml:space="preserve">es 7 principales aires urbaines belges en 2017 (sur base de la population) : </w:t>
            </w:r>
            <w:r w:rsidRPr="00F55978">
              <w:rPr>
                <w:sz w:val="18"/>
                <w:szCs w:val="18"/>
                <w:lang w:val="fr-FR"/>
              </w:rPr>
              <w:t>Anvers, Bruges, Bruxelles (16e aire urbaine européenne), Charleroi, Gand, Liège et Namur.</w:t>
            </w:r>
          </w:p>
          <w:p w14:paraId="63C25520" w14:textId="77777777" w:rsidR="00E72CF6" w:rsidRPr="00F55978" w:rsidRDefault="00E72CF6" w:rsidP="00F60A88">
            <w:pPr>
              <w:rPr>
                <w:sz w:val="20"/>
                <w:szCs w:val="20"/>
                <w:lang w:val="fr-FR"/>
              </w:rPr>
            </w:pPr>
            <w:r w:rsidRPr="00F55978">
              <w:rPr>
                <w:sz w:val="20"/>
                <w:szCs w:val="20"/>
                <w:lang w:val="fr-FR"/>
              </w:rPr>
              <w:t>Le Sillon Sambre-Meuse</w:t>
            </w:r>
          </w:p>
          <w:p w14:paraId="31488DF5" w14:textId="77777777" w:rsidR="00E72CF6" w:rsidRPr="00A22C90" w:rsidRDefault="00E72CF6" w:rsidP="00F60A88">
            <w:pPr>
              <w:rPr>
                <w:sz w:val="20"/>
                <w:szCs w:val="20"/>
              </w:rPr>
            </w:pPr>
            <w:r w:rsidRPr="00F55978">
              <w:rPr>
                <w:sz w:val="20"/>
                <w:szCs w:val="20"/>
                <w:lang w:val="fr-FR"/>
              </w:rPr>
              <w:t xml:space="preserve">Les principales aires urbaines périphériques des pays limitrophes de la </w:t>
            </w:r>
            <w:r>
              <w:rPr>
                <w:sz w:val="20"/>
                <w:szCs w:val="20"/>
                <w:lang w:val="fr-FR"/>
              </w:rPr>
              <w:t xml:space="preserve">Belgique </w:t>
            </w:r>
            <w:r w:rsidRPr="00F55978">
              <w:rPr>
                <w:sz w:val="20"/>
                <w:szCs w:val="20"/>
                <w:lang w:val="fr-FR"/>
              </w:rPr>
              <w:t xml:space="preserve">: </w:t>
            </w:r>
            <w:r w:rsidRPr="00F55978">
              <w:rPr>
                <w:sz w:val="18"/>
                <w:szCs w:val="18"/>
                <w:lang w:val="fr-FR"/>
              </w:rPr>
              <w:t>Aix-la-Chapelle, Lille, Luxembourg, Maastricht.</w:t>
            </w:r>
          </w:p>
        </w:tc>
      </w:tr>
      <w:tr w:rsidR="00E72CF6" w14:paraId="22BC2B43" w14:textId="77777777" w:rsidTr="00E72CF6">
        <w:tc>
          <w:tcPr>
            <w:tcW w:w="1507" w:type="dxa"/>
            <w:vAlign w:val="center"/>
          </w:tcPr>
          <w:p w14:paraId="4C565860" w14:textId="77777777" w:rsidR="00E72CF6" w:rsidRDefault="00E72CF6" w:rsidP="00F60A88">
            <w:pPr>
              <w:jc w:val="center"/>
              <w:rPr>
                <w:b/>
                <w:bCs/>
                <w:sz w:val="20"/>
                <w:szCs w:val="20"/>
                <w:lang w:val="fr-FR"/>
              </w:rPr>
            </w:pPr>
            <w:r w:rsidRPr="00A44F44">
              <w:rPr>
                <w:b/>
                <w:bCs/>
                <w:sz w:val="20"/>
                <w:szCs w:val="20"/>
                <w:lang w:val="fr-FR"/>
              </w:rPr>
              <w:t>Des exemples pour illustrer</w:t>
            </w:r>
            <w:r>
              <w:rPr>
                <w:b/>
                <w:bCs/>
                <w:sz w:val="20"/>
                <w:szCs w:val="20"/>
                <w:lang w:val="fr-FR"/>
              </w:rPr>
              <w:t>…</w:t>
            </w:r>
          </w:p>
          <w:p w14:paraId="27892834" w14:textId="77777777" w:rsidR="00E72CF6" w:rsidRPr="00A44F44" w:rsidRDefault="00E72CF6" w:rsidP="00F60A88">
            <w:pPr>
              <w:jc w:val="center"/>
              <w:rPr>
                <w:b/>
                <w:bCs/>
                <w:sz w:val="20"/>
                <w:szCs w:val="20"/>
                <w:lang w:val="fr-FR"/>
              </w:rPr>
            </w:pPr>
            <w:r w:rsidRPr="00F2603F">
              <w:rPr>
                <w:sz w:val="20"/>
                <w:szCs w:val="20"/>
                <w:lang w:val="fr-FR"/>
              </w:rPr>
              <w:t>(</w:t>
            </w:r>
            <w:r>
              <w:rPr>
                <w:sz w:val="20"/>
                <w:szCs w:val="20"/>
                <w:lang w:val="fr-FR"/>
              </w:rPr>
              <w:t>c</w:t>
            </w:r>
            <w:r w:rsidRPr="00F2603F">
              <w:rPr>
                <w:sz w:val="20"/>
                <w:szCs w:val="20"/>
                <w:lang w:val="fr-FR"/>
              </w:rPr>
              <w:t>onnaissances issues des cas travaillés en lien avec les compétences)</w:t>
            </w:r>
          </w:p>
        </w:tc>
        <w:tc>
          <w:tcPr>
            <w:tcW w:w="3455" w:type="dxa"/>
          </w:tcPr>
          <w:p w14:paraId="53D817C0" w14:textId="77777777" w:rsidR="00E72CF6" w:rsidRPr="00F2603F" w:rsidRDefault="00E72CF6" w:rsidP="00F60A88">
            <w:pPr>
              <w:ind w:left="12"/>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 des liens spatiaux entre des composantes de l’espace et les activités humaines pour expliciter le concept d’atouts/contraintes ;</w:t>
            </w:r>
          </w:p>
          <w:p w14:paraId="2413F7D2" w14:textId="77777777" w:rsidR="00E72CF6" w:rsidRPr="00F2603F" w:rsidRDefault="00E72CF6" w:rsidP="00F60A88">
            <w:pPr>
              <w:ind w:left="12"/>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 pour les échelles belges et européennes, des liens entre les foyers de population et les principales infrastructures de communication ;</w:t>
            </w:r>
          </w:p>
          <w:p w14:paraId="2D16E950" w14:textId="77777777" w:rsidR="00E72CF6" w:rsidRPr="00F2603F" w:rsidRDefault="00E72CF6" w:rsidP="00F60A88">
            <w:pPr>
              <w:ind w:left="12"/>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 des liens spatiaux entre des composantes de l’espace et des activités humaines pour expliciter le concept de potentialité / vulnérabilité ;</w:t>
            </w:r>
          </w:p>
          <w:p w14:paraId="63017A7A" w14:textId="77777777" w:rsidR="00E72CF6" w:rsidRPr="00F2603F" w:rsidRDefault="00E72CF6" w:rsidP="00F60A88">
            <w:pPr>
              <w:ind w:left="12"/>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 l’évolution d’une composante naturelle comme conséquence des activités humaines pour expliciter le concept de développement et de développement durable ;</w:t>
            </w:r>
          </w:p>
          <w:p w14:paraId="4AC4810C" w14:textId="77777777" w:rsidR="00E72CF6" w:rsidRPr="00F2603F" w:rsidRDefault="00E72CF6" w:rsidP="00F60A88">
            <w:pPr>
              <w:ind w:left="12"/>
              <w:rPr>
                <w:sz w:val="20"/>
                <w:szCs w:val="20"/>
                <w:lang w:val="fr-FR"/>
              </w:rPr>
            </w:pPr>
            <w:r>
              <w:rPr>
                <w:lang w:val="fr-FR"/>
              </w:rPr>
              <w:sym w:font="Wingdings" w:char="F06F"/>
            </w:r>
            <w:r w:rsidRPr="001A1ED7">
              <w:rPr>
                <w:sz w:val="20"/>
                <w:szCs w:val="20"/>
                <w:lang w:val="fr-FR"/>
              </w:rPr>
              <w:t xml:space="preserve"> </w:t>
            </w:r>
            <w:r w:rsidRPr="00F2603F">
              <w:rPr>
                <w:sz w:val="20"/>
                <w:szCs w:val="20"/>
                <w:lang w:val="fr-FR"/>
              </w:rPr>
              <w:t>… le concept d’aménagement du territoire.</w:t>
            </w:r>
          </w:p>
        </w:tc>
        <w:tc>
          <w:tcPr>
            <w:tcW w:w="5528" w:type="dxa"/>
          </w:tcPr>
          <w:p w14:paraId="6F978452" w14:textId="77777777" w:rsidR="00E72CF6" w:rsidRPr="00A22C90" w:rsidRDefault="00E72CF6" w:rsidP="00F60A88">
            <w:pPr>
              <w:rPr>
                <w:sz w:val="20"/>
                <w:szCs w:val="20"/>
                <w:lang w:val="fr-FR"/>
              </w:rPr>
            </w:pPr>
            <w:r>
              <w:rPr>
                <w:sz w:val="20"/>
                <w:szCs w:val="20"/>
                <w:lang w:val="fr-FR"/>
              </w:rPr>
              <w:t>Les exemples (contre-exemples) constituent le fondement de la conceptualisation. Pour faire état de sa connaissance conceptuelle, l’élève peut illustrer des notions, des termes, des modèles, des théories… à l’aide d’exemple et/ou de contre-exemples qui ont été abordés au cours de l’apprentissage.</w:t>
            </w:r>
          </w:p>
        </w:tc>
      </w:tr>
    </w:tbl>
    <w:p w14:paraId="27D46B5A" w14:textId="77777777" w:rsidR="001A3134" w:rsidRPr="00F45B96" w:rsidRDefault="001A3134" w:rsidP="001A3134">
      <w:pPr>
        <w:pStyle w:val="Paragraphedeliste"/>
        <w:numPr>
          <w:ilvl w:val="0"/>
          <w:numId w:val="3"/>
        </w:numPr>
        <w:rPr>
          <w:b/>
          <w:bCs/>
          <w:sz w:val="28"/>
          <w:szCs w:val="28"/>
          <w:lang w:val="fr-FR"/>
        </w:rPr>
      </w:pPr>
      <w:bookmarkStart w:id="4" w:name="_Hlk37952659"/>
      <w:r w:rsidRPr="00F45B96">
        <w:rPr>
          <w:b/>
          <w:bCs/>
          <w:sz w:val="28"/>
          <w:szCs w:val="28"/>
          <w:lang w:val="fr-FR"/>
        </w:rPr>
        <w:lastRenderedPageBreak/>
        <w:t>Notes et conseils pour utiliser efficacement les situations d’apprentissage dans le cadre de cours à distance</w:t>
      </w:r>
    </w:p>
    <w:p w14:paraId="1B273683" w14:textId="77777777" w:rsidR="001A3134" w:rsidRPr="00CE0B20" w:rsidRDefault="001A3134" w:rsidP="001A3134">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1" w:history="1">
        <w:r w:rsidR="00CE0B20" w:rsidRPr="00255763">
          <w:rPr>
            <w:rStyle w:val="Lienhypertexte"/>
            <w:lang w:val="fr-FR"/>
          </w:rPr>
          <w:t>http://geo.scienceshumaines.be/wordpress/?page_id=3767</w:t>
        </w:r>
      </w:hyperlink>
      <w:r w:rsidR="00CE0B20">
        <w:rPr>
          <w:lang w:val="fr-FR"/>
        </w:rPr>
        <w:t xml:space="preserve"> </w:t>
      </w:r>
    </w:p>
    <w:p w14:paraId="4A62F8C3" w14:textId="77777777" w:rsidR="001A3134" w:rsidRPr="000C0113" w:rsidRDefault="001A3134" w:rsidP="001A3134">
      <w:pPr>
        <w:ind w:left="360"/>
        <w:rPr>
          <w:lang w:val="fr-FR"/>
        </w:rPr>
      </w:pPr>
      <w:r w:rsidRPr="000C0113">
        <w:rPr>
          <w:lang w:val="fr-FR"/>
        </w:rPr>
        <w:t>Les situations d’apprentissage s’organisent de la manière suivante :</w:t>
      </w:r>
    </w:p>
    <w:p w14:paraId="51EE1B05" w14:textId="77777777" w:rsidR="001A3134" w:rsidRPr="000C0113" w:rsidRDefault="001A3134" w:rsidP="001A3134">
      <w:pPr>
        <w:pStyle w:val="Paragraphedeliste"/>
        <w:numPr>
          <w:ilvl w:val="0"/>
          <w:numId w:val="9"/>
        </w:numPr>
        <w:rPr>
          <w:lang w:val="fr-FR"/>
        </w:rPr>
      </w:pPr>
      <w:r w:rsidRPr="000C0113">
        <w:rPr>
          <w:lang w:val="fr-FR"/>
        </w:rPr>
        <w:t>Une contextualisation (objet général de l’apprentissage)</w:t>
      </w:r>
    </w:p>
    <w:p w14:paraId="368F61EA" w14:textId="77777777" w:rsidR="001A3134" w:rsidRPr="000C0113" w:rsidRDefault="001A3134" w:rsidP="001A3134">
      <w:pPr>
        <w:pStyle w:val="Paragraphedeliste"/>
        <w:numPr>
          <w:ilvl w:val="0"/>
          <w:numId w:val="9"/>
        </w:numPr>
        <w:rPr>
          <w:lang w:val="fr-FR"/>
        </w:rPr>
      </w:pPr>
      <w:r w:rsidRPr="000C0113">
        <w:rPr>
          <w:lang w:val="fr-FR"/>
        </w:rPr>
        <w:t>Les supports documentaires : l’accent est porté sur les outils numériques que l’élève pourra utiliser à distance.</w:t>
      </w:r>
    </w:p>
    <w:p w14:paraId="35AC1258" w14:textId="77777777" w:rsidR="001A3134" w:rsidRPr="000C0113" w:rsidRDefault="001A3134" w:rsidP="001A3134">
      <w:pPr>
        <w:pStyle w:val="Paragraphedeliste"/>
        <w:numPr>
          <w:ilvl w:val="0"/>
          <w:numId w:val="9"/>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2548869F" w14:textId="77777777" w:rsidR="001A3134" w:rsidRPr="000C0113" w:rsidRDefault="001A3134" w:rsidP="001A3134">
      <w:pPr>
        <w:pStyle w:val="Paragraphedeliste"/>
        <w:numPr>
          <w:ilvl w:val="0"/>
          <w:numId w:val="9"/>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6A6154A1" w14:textId="77777777" w:rsidR="001A3134" w:rsidRPr="000C0113" w:rsidRDefault="001A3134" w:rsidP="001A3134">
      <w:pPr>
        <w:pStyle w:val="Paragraphedeliste"/>
        <w:numPr>
          <w:ilvl w:val="0"/>
          <w:numId w:val="9"/>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32F8A0A5" w14:textId="77777777" w:rsidR="001A3134" w:rsidRPr="000C0113" w:rsidRDefault="001A3134" w:rsidP="001A3134">
      <w:pPr>
        <w:pStyle w:val="Paragraphedeliste"/>
        <w:numPr>
          <w:ilvl w:val="0"/>
          <w:numId w:val="9"/>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0737B2F6" w14:textId="77777777" w:rsidR="001A3134" w:rsidRPr="000B39AB" w:rsidRDefault="001A3134" w:rsidP="001A3134">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7ED932BF" w14:textId="77777777" w:rsidR="001A3134" w:rsidRPr="00F45B96" w:rsidRDefault="001A3134" w:rsidP="001A3134">
      <w:pPr>
        <w:pStyle w:val="NormalWeb"/>
        <w:numPr>
          <w:ilvl w:val="0"/>
          <w:numId w:val="8"/>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6D7CD01B" w14:textId="77777777" w:rsidR="001A3134" w:rsidRPr="00F45B96" w:rsidRDefault="001A3134" w:rsidP="001A3134">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68488C6C" w14:textId="77777777" w:rsidR="001A3134" w:rsidRPr="00F45B96" w:rsidRDefault="001A3134" w:rsidP="001A3134">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42400BBD" w14:textId="77777777" w:rsidR="001A3134" w:rsidRPr="00F45B96" w:rsidRDefault="001A3134" w:rsidP="001A3134">
      <w:pPr>
        <w:pStyle w:val="NormalWeb"/>
        <w:numPr>
          <w:ilvl w:val="0"/>
          <w:numId w:val="8"/>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4"/>
    <w:p w14:paraId="2E0F18D8" w14:textId="77777777" w:rsidR="001A3134" w:rsidRPr="003B46B6" w:rsidRDefault="001A3134" w:rsidP="001A3134"/>
    <w:p w14:paraId="1438DF61" w14:textId="77777777" w:rsidR="00755667" w:rsidRPr="003B46B6" w:rsidRDefault="00755667" w:rsidP="001A3134"/>
    <w:sectPr w:rsidR="00755667" w:rsidRPr="003B46B6">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076E" w14:textId="77777777" w:rsidR="00EC5A74" w:rsidRDefault="00EC5A74" w:rsidP="003B46B6">
      <w:pPr>
        <w:spacing w:after="0" w:line="240" w:lineRule="auto"/>
      </w:pPr>
      <w:r>
        <w:separator/>
      </w:r>
    </w:p>
  </w:endnote>
  <w:endnote w:type="continuationSeparator" w:id="0">
    <w:p w14:paraId="021F6DF5" w14:textId="77777777" w:rsidR="00EC5A74" w:rsidRDefault="00EC5A74"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380447"/>
      <w:docPartObj>
        <w:docPartGallery w:val="Page Numbers (Bottom of Page)"/>
        <w:docPartUnique/>
      </w:docPartObj>
    </w:sdtPr>
    <w:sdtContent>
      <w:p w14:paraId="34873CD0" w14:textId="3B7581BD" w:rsidR="00700720" w:rsidRDefault="00700720">
        <w:pPr>
          <w:pStyle w:val="Pieddepage"/>
          <w:jc w:val="right"/>
        </w:pPr>
        <w:r>
          <w:rPr>
            <w:noProof/>
          </w:rPr>
          <w:drawing>
            <wp:anchor distT="0" distB="0" distL="114300" distR="114300" simplePos="0" relativeHeight="251660288" behindDoc="0" locked="0" layoutInCell="1" allowOverlap="1" wp14:anchorId="4DB34AF8" wp14:editId="0CC83CAB">
              <wp:simplePos x="0" y="0"/>
              <wp:positionH relativeFrom="margin">
                <wp:align>left</wp:align>
              </wp:positionH>
              <wp:positionV relativeFrom="paragraph">
                <wp:posOffset>14605</wp:posOffset>
              </wp:positionV>
              <wp:extent cx="628650" cy="368300"/>
              <wp:effectExtent l="0" t="0" r="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470" cy="37041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5B50FEF5" w14:textId="31B3028C" w:rsidR="00700720" w:rsidRDefault="007007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3E86" w14:textId="77777777" w:rsidR="00EC5A74" w:rsidRDefault="00EC5A74" w:rsidP="003B46B6">
      <w:pPr>
        <w:spacing w:after="0" w:line="240" w:lineRule="auto"/>
      </w:pPr>
      <w:r>
        <w:separator/>
      </w:r>
    </w:p>
  </w:footnote>
  <w:footnote w:type="continuationSeparator" w:id="0">
    <w:p w14:paraId="2F13FCEF" w14:textId="77777777" w:rsidR="00EC5A74" w:rsidRDefault="00EC5A74"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26CD" w14:textId="77777777" w:rsidR="003B46B6" w:rsidRDefault="007757F9" w:rsidP="003B46B6">
    <w:pPr>
      <w:pStyle w:val="En-tte"/>
      <w:pBdr>
        <w:bottom w:val="single" w:sz="4" w:space="1" w:color="auto"/>
      </w:pBdr>
    </w:pPr>
    <w:r w:rsidRPr="007757F9">
      <w:rPr>
        <w:b/>
        <w:bCs/>
        <w:noProof/>
        <w:lang w:val="fr-FR"/>
      </w:rPr>
      <w:drawing>
        <wp:anchor distT="0" distB="0" distL="114300" distR="114300" simplePos="0" relativeHeight="251658240" behindDoc="0" locked="0" layoutInCell="1" allowOverlap="1" wp14:anchorId="641BD437" wp14:editId="0F1369B3">
          <wp:simplePos x="0" y="0"/>
          <wp:positionH relativeFrom="column">
            <wp:posOffset>5462905</wp:posOffset>
          </wp:positionH>
          <wp:positionV relativeFrom="paragraph">
            <wp:posOffset>-230505</wp:posOffset>
          </wp:positionV>
          <wp:extent cx="849950" cy="73342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950" cy="733425"/>
                  </a:xfrm>
                  <a:prstGeom prst="rect">
                    <a:avLst/>
                  </a:prstGeom>
                </pic:spPr>
              </pic:pic>
            </a:graphicData>
          </a:graphic>
          <wp14:sizeRelH relativeFrom="margin">
            <wp14:pctWidth>0</wp14:pctWidth>
          </wp14:sizeRelH>
          <wp14:sizeRelV relativeFrom="margin">
            <wp14:pctHeight>0</wp14:pctHeight>
          </wp14:sizeRelV>
        </wp:anchor>
      </w:drawing>
    </w:r>
    <w:r w:rsidR="003B46B6" w:rsidRPr="0207C43A">
      <w:rPr>
        <w:b/>
        <w:bCs/>
        <w:lang w:val="fr-FR"/>
      </w:rPr>
      <w:t xml:space="preserve">Formation géographique – </w:t>
    </w:r>
    <w:r>
      <w:rPr>
        <w:b/>
        <w:bCs/>
        <w:lang w:val="fr-FR"/>
      </w:rPr>
      <w:t>6</w:t>
    </w:r>
    <w:r w:rsidR="003B46B6" w:rsidRPr="0207C43A">
      <w:rPr>
        <w:b/>
        <w:bCs/>
        <w:vertAlign w:val="superscript"/>
        <w:lang w:val="fr-FR"/>
      </w:rPr>
      <w:t>e</w:t>
    </w:r>
    <w:r w:rsidR="003B46B6" w:rsidRPr="0207C43A">
      <w:rPr>
        <w:b/>
        <w:bCs/>
        <w:lang w:val="fr-FR"/>
      </w:rPr>
      <w:t xml:space="preserve"> année</w:t>
    </w:r>
    <w:r w:rsidR="003B46B6">
      <w:rPr>
        <w:b/>
        <w:bCs/>
        <w:lang w:val="fr-FR"/>
      </w:rPr>
      <w:t>–</w:t>
    </w:r>
    <w:r w:rsidR="003810BC">
      <w:rPr>
        <w:b/>
        <w:bCs/>
        <w:lang w:val="fr-FR"/>
      </w:rPr>
      <w:t xml:space="preserve"> Programme 20</w:t>
    </w:r>
    <w:r w:rsidR="00BE013D">
      <w:rPr>
        <w:b/>
        <w:bCs/>
        <w:lang w:val="fr-FR"/>
      </w:rPr>
      <w:t>1</w:t>
    </w:r>
    <w:r w:rsidR="003810BC">
      <w:rPr>
        <w:b/>
        <w:bCs/>
        <w:lang w:val="fr-FR"/>
      </w:rPr>
      <w:t>8</w:t>
    </w:r>
    <w:r w:rsidR="000B0BFF">
      <w:rPr>
        <w:b/>
        <w:bCs/>
        <w:lang w:val="fr-FR"/>
      </w:rPr>
      <w:t xml:space="preserve"> - </w:t>
    </w:r>
    <w:r w:rsidR="000B0BFF" w:rsidRPr="0207C43A">
      <w:rPr>
        <w:b/>
        <w:bCs/>
        <w:lang w:val="fr-FR"/>
      </w:rPr>
      <w:t>Les</w:t>
    </w:r>
    <w:r w:rsidR="003B46B6">
      <w:rPr>
        <w:b/>
        <w:bCs/>
        <w:lang w:val="fr-FR"/>
      </w:rPr>
      <w:t xml:space="preserve"> essentiels - </w:t>
    </w:r>
    <w:hyperlink r:id="rId2">
      <w:r w:rsidR="003B46B6" w:rsidRPr="0207C43A">
        <w:rPr>
          <w:rStyle w:val="Lienhypertexte"/>
          <w:sz w:val="20"/>
          <w:szCs w:val="20"/>
          <w:lang w:val="fr-FR"/>
        </w:rPr>
        <w:t>https://geo.fesec.be</w:t>
      </w:r>
    </w:hyperlink>
    <w:r w:rsidR="003B46B6">
      <w:rPr>
        <w:sz w:val="20"/>
        <w:szCs w:val="20"/>
        <w:lang w:val="fr-FR"/>
      </w:rPr>
      <w:t xml:space="preserve"> </w:t>
    </w:r>
    <w:r w:rsidR="003B46B6" w:rsidRPr="003B46B6">
      <w:rPr>
        <w:sz w:val="20"/>
        <w:szCs w:val="20"/>
        <w:lang w:val="fr-FR"/>
      </w:rPr>
      <w:sym w:font="Wingdings" w:char="F0E0"/>
    </w:r>
    <w:r w:rsidR="003B46B6">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6AD627B2"/>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4287650"/>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00FC9"/>
    <w:rsid w:val="00020BDB"/>
    <w:rsid w:val="00094364"/>
    <w:rsid w:val="000B0BFF"/>
    <w:rsid w:val="000E4148"/>
    <w:rsid w:val="00171FCC"/>
    <w:rsid w:val="0018587C"/>
    <w:rsid w:val="001A3134"/>
    <w:rsid w:val="002A4BE5"/>
    <w:rsid w:val="002F1DDA"/>
    <w:rsid w:val="002F3BCA"/>
    <w:rsid w:val="00327140"/>
    <w:rsid w:val="003810BC"/>
    <w:rsid w:val="003B46B6"/>
    <w:rsid w:val="003C1E9D"/>
    <w:rsid w:val="00423560"/>
    <w:rsid w:val="005629E2"/>
    <w:rsid w:val="005A011E"/>
    <w:rsid w:val="006331AD"/>
    <w:rsid w:val="00700720"/>
    <w:rsid w:val="00755667"/>
    <w:rsid w:val="007757F9"/>
    <w:rsid w:val="00876EB6"/>
    <w:rsid w:val="009C7B3D"/>
    <w:rsid w:val="009D2FB0"/>
    <w:rsid w:val="00A8520B"/>
    <w:rsid w:val="00A928CD"/>
    <w:rsid w:val="00BE013D"/>
    <w:rsid w:val="00CE0B20"/>
    <w:rsid w:val="00E72CF6"/>
    <w:rsid w:val="00EC225C"/>
    <w:rsid w:val="00EC5A74"/>
    <w:rsid w:val="00F85670"/>
    <w:rsid w:val="00F9086B"/>
    <w:rsid w:val="00FB3D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339CF"/>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1A313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F856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5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xelle.delval@segec.be" TargetMode="External"/><Relationship Id="rId18" Type="http://schemas.openxmlformats.org/officeDocument/2006/relationships/hyperlink" Target="http://geo.scienceshumaines.be/wordpress/?p=3750" TargetMode="External"/><Relationship Id="rId3" Type="http://schemas.openxmlformats.org/officeDocument/2006/relationships/customXml" Target="../customXml/item3.xml"/><Relationship Id="rId21" Type="http://schemas.openxmlformats.org/officeDocument/2006/relationships/hyperlink" Target="http://geo.scienceshumaines.be/wordpress/?page_id=3767" TargetMode="External"/><Relationship Id="rId7" Type="http://schemas.openxmlformats.org/officeDocument/2006/relationships/settings" Target="settings.xml"/><Relationship Id="rId12" Type="http://schemas.openxmlformats.org/officeDocument/2006/relationships/hyperlink" Target="mailto:marianne.quitin@segec.be" TargetMode="External"/><Relationship Id="rId17" Type="http://schemas.openxmlformats.org/officeDocument/2006/relationships/hyperlink" Target="mailto:marc.deprez@segec.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eline.demoustier@segec.be" TargetMode="External"/><Relationship Id="rId20" Type="http://schemas.openxmlformats.org/officeDocument/2006/relationships/hyperlink" Target="http://geo.scienceshumaines.be/wordpress/?p=38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scale.lambrechts@segec.b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geo.scienceshumaines.be/wordpress/?p=37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ne.demoustier@segec.b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Dessambre Charline</DisplayName>
        <AccountId>134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0A8C9-B4D6-40E7-9C6D-66C855A3A49B}">
  <ds:schemaRefs>
    <ds:schemaRef ds:uri="http://purl.org/dc/terms/"/>
    <ds:schemaRef ds:uri="http://purl.org/dc/dcmitype/"/>
    <ds:schemaRef ds:uri="5505cd70-7e0f-4dc3-9eca-52c48a08fa6d"/>
    <ds:schemaRef ds:uri="http://schemas.openxmlformats.org/package/2006/metadata/core-properties"/>
    <ds:schemaRef ds:uri="http://schemas.microsoft.com/office/2006/documentManagement/types"/>
    <ds:schemaRef ds:uri="http://schemas.microsoft.com/office/infopath/2007/PartnerControls"/>
    <ds:schemaRef ds:uri="4d305eb4-31fb-457d-a69d-45076095c278"/>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218A7AE0-F8D7-4841-80F9-84F1CD089FF2}">
  <ds:schemaRefs>
    <ds:schemaRef ds:uri="http://schemas.microsoft.com/sharepoint/v3/contenttype/forms"/>
  </ds:schemaRefs>
</ds:datastoreItem>
</file>

<file path=customXml/itemProps3.xml><?xml version="1.0" encoding="utf-8"?>
<ds:datastoreItem xmlns:ds="http://schemas.openxmlformats.org/officeDocument/2006/customXml" ds:itemID="{BB0E1FB2-25E0-4218-95BD-75F61A73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B2C90-E8F6-4EDD-BC7B-8C6A37A4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2020-04-17T08:36:00Z</dcterms:created>
  <dcterms:modified xsi:type="dcterms:W3CDTF">2020-04-17T08:36:00Z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