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48C2" w14:textId="5C50542A" w:rsidR="003C7926" w:rsidRDefault="003C7926" w:rsidP="003C7926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9C533" wp14:editId="348921A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94927" cy="93600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ese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2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101B5" w14:textId="382B3D37" w:rsidR="000308C8" w:rsidRDefault="000308C8" w:rsidP="000308C8">
      <w:pPr>
        <w:rPr>
          <w:b/>
          <w:sz w:val="28"/>
          <w:szCs w:val="28"/>
        </w:rPr>
      </w:pPr>
      <w:r w:rsidRPr="000308C8">
        <w:rPr>
          <w:b/>
          <w:sz w:val="28"/>
          <w:szCs w:val="28"/>
        </w:rPr>
        <w:t xml:space="preserve">Education plastique – Education musicale </w:t>
      </w:r>
      <w:r>
        <w:rPr>
          <w:b/>
          <w:sz w:val="28"/>
          <w:szCs w:val="28"/>
        </w:rPr>
        <w:t xml:space="preserve"> 2C (</w:t>
      </w:r>
      <w:r w:rsidRPr="000308C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1)</w:t>
      </w:r>
    </w:p>
    <w:p w14:paraId="29FB7910" w14:textId="2C39D9C2" w:rsidR="000308C8" w:rsidRPr="000308C8" w:rsidRDefault="000308C8" w:rsidP="00030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Apprentissages à favoriser</w:t>
      </w:r>
    </w:p>
    <w:p w14:paraId="14EAB24E" w14:textId="77777777" w:rsidR="003C7926" w:rsidRDefault="003C7926" w:rsidP="003C792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4117"/>
        <w:gridCol w:w="2256"/>
      </w:tblGrid>
      <w:tr w:rsidR="00643FDB" w:rsidRPr="00802ACA" w14:paraId="333DB539" w14:textId="77777777" w:rsidTr="00CD22CF">
        <w:tc>
          <w:tcPr>
            <w:tcW w:w="1938" w:type="dxa"/>
          </w:tcPr>
          <w:p w14:paraId="59B2F8C3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Intitulé du programme</w:t>
            </w:r>
          </w:p>
        </w:tc>
        <w:tc>
          <w:tcPr>
            <w:tcW w:w="4117" w:type="dxa"/>
          </w:tcPr>
          <w:p w14:paraId="41FE2403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Conseils</w:t>
            </w:r>
          </w:p>
        </w:tc>
        <w:tc>
          <w:tcPr>
            <w:tcW w:w="2256" w:type="dxa"/>
          </w:tcPr>
          <w:p w14:paraId="4DB85264" w14:textId="468257EF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Référence</w:t>
            </w:r>
            <w:r w:rsidR="005B0B0E">
              <w:rPr>
                <w:sz w:val="20"/>
                <w:szCs w:val="20"/>
              </w:rPr>
              <w:t>s</w:t>
            </w:r>
            <w:r w:rsidRPr="00802ACA">
              <w:rPr>
                <w:sz w:val="20"/>
                <w:szCs w:val="20"/>
              </w:rPr>
              <w:t xml:space="preserve">  dans le programme</w:t>
            </w:r>
          </w:p>
        </w:tc>
      </w:tr>
      <w:tr w:rsidR="00643FDB" w:rsidRPr="00802ACA" w14:paraId="0411C63F" w14:textId="77777777" w:rsidTr="00CD22CF">
        <w:tc>
          <w:tcPr>
            <w:tcW w:w="1938" w:type="dxa"/>
          </w:tcPr>
          <w:p w14:paraId="72D648E9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Education plastique </w:t>
            </w:r>
          </w:p>
          <w:p w14:paraId="21B7FD6B" w14:textId="77777777" w:rsidR="00643FDB" w:rsidRPr="00802ACA" w:rsidRDefault="00643FDB" w:rsidP="00240A64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</w:tcPr>
          <w:p w14:paraId="2A81C591" w14:textId="77777777" w:rsidR="00643FDB" w:rsidRPr="00802ACA" w:rsidRDefault="00643FDB" w:rsidP="00240A64">
            <w:pPr>
              <w:rPr>
                <w:b/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Privilégier la pratique expressive et les compétences qui la mobilisent</w:t>
            </w:r>
            <w:r w:rsidRPr="00802ACA">
              <w:rPr>
                <w:b/>
                <w:sz w:val="20"/>
                <w:szCs w:val="20"/>
              </w:rPr>
              <w:t xml:space="preserve">, </w:t>
            </w:r>
            <w:r w:rsidRPr="00802ACA">
              <w:rPr>
                <w:sz w:val="20"/>
                <w:szCs w:val="20"/>
              </w:rPr>
              <w:t>ne pas accentuer l’exercice des compétences</w:t>
            </w:r>
            <w:r w:rsidRPr="00802ACA">
              <w:rPr>
                <w:b/>
                <w:sz w:val="20"/>
                <w:szCs w:val="20"/>
              </w:rPr>
              <w:t> :</w:t>
            </w:r>
          </w:p>
          <w:p w14:paraId="4F852165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« </w:t>
            </w:r>
            <w:r w:rsidRPr="00802ACA">
              <w:rPr>
                <w:i/>
                <w:sz w:val="20"/>
                <w:szCs w:val="20"/>
              </w:rPr>
              <w:t>Percevoir la notion de temps dans différentes œuvres (cinéma, dessin d’animation, bande dessinée, sculpture, mouvement, …)</w:t>
            </w:r>
            <w:r w:rsidRPr="00802ACA">
              <w:rPr>
                <w:sz w:val="20"/>
                <w:szCs w:val="20"/>
              </w:rPr>
              <w:t> », « </w:t>
            </w:r>
            <w:r w:rsidRPr="00802ACA">
              <w:rPr>
                <w:i/>
                <w:sz w:val="20"/>
                <w:szCs w:val="20"/>
              </w:rPr>
              <w:t>Organiser un espace en composant des éléments et en respectant les règles d'équilibre (fond, forme, couleurs, mouvement</w:t>
            </w:r>
            <w:r w:rsidRPr="00802ACA">
              <w:rPr>
                <w:sz w:val="20"/>
                <w:szCs w:val="20"/>
              </w:rPr>
              <w:t>, …) »</w:t>
            </w:r>
          </w:p>
          <w:p w14:paraId="415EF1BD" w14:textId="2233C721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Obtenir un retour à distance des élèves sur une pratique expressive (photo, vidéo, envoi…).</w:t>
            </w:r>
            <w:r>
              <w:rPr>
                <w:sz w:val="20"/>
                <w:szCs w:val="20"/>
              </w:rPr>
              <w:t xml:space="preserve"> </w:t>
            </w:r>
          </w:p>
          <w:p w14:paraId="4EA1F8DF" w14:textId="77777777" w:rsidR="00643FDB" w:rsidRPr="00802ACA" w:rsidRDefault="00643FDB" w:rsidP="00240A64">
            <w:pPr>
              <w:rPr>
                <w:sz w:val="20"/>
                <w:szCs w:val="20"/>
              </w:rPr>
            </w:pPr>
          </w:p>
          <w:p w14:paraId="726CB586" w14:textId="01F1770F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Proposer un sujet (œuvre, artiste, thème en arts plastiques…) à explorer, à propos duquel une exploitation sera réalisée en classe ou un retour à distance demandé</w:t>
            </w:r>
            <w:r>
              <w:rPr>
                <w:sz w:val="20"/>
                <w:szCs w:val="20"/>
              </w:rPr>
              <w:t xml:space="preserve"> selon l’évolution de la situation.</w:t>
            </w:r>
          </w:p>
        </w:tc>
        <w:tc>
          <w:tcPr>
            <w:tcW w:w="2256" w:type="dxa"/>
          </w:tcPr>
          <w:p w14:paraId="4F7CDC07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Tableau des compétences, p. 14</w:t>
            </w:r>
          </w:p>
        </w:tc>
      </w:tr>
      <w:tr w:rsidR="00643FDB" w:rsidRPr="00802ACA" w14:paraId="1E0B58D0" w14:textId="77777777" w:rsidTr="00CD22CF">
        <w:tc>
          <w:tcPr>
            <w:tcW w:w="1938" w:type="dxa"/>
          </w:tcPr>
          <w:p w14:paraId="48B41388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Education musicale </w:t>
            </w:r>
          </w:p>
          <w:p w14:paraId="3F5E26AB" w14:textId="77777777" w:rsidR="00643FDB" w:rsidRPr="00802ACA" w:rsidRDefault="00643FDB" w:rsidP="00240A64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</w:tcPr>
          <w:p w14:paraId="19FE34EE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Privilégier la pratique musicale, ne pas accentuer l’exercice de la compétence « </w:t>
            </w:r>
            <w:r w:rsidRPr="00802ACA">
              <w:rPr>
                <w:i/>
                <w:sz w:val="20"/>
                <w:szCs w:val="20"/>
              </w:rPr>
              <w:t>Décoder des langages utilisés pour construire des images médiatiques</w:t>
            </w:r>
            <w:r w:rsidRPr="00802ACA">
              <w:rPr>
                <w:sz w:val="20"/>
                <w:szCs w:val="20"/>
              </w:rPr>
              <w:t> »</w:t>
            </w:r>
          </w:p>
          <w:p w14:paraId="48415AE3" w14:textId="33DEACC5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Obtenir un retour à distance</w:t>
            </w:r>
            <w:r>
              <w:rPr>
                <w:sz w:val="20"/>
                <w:szCs w:val="20"/>
              </w:rPr>
              <w:t xml:space="preserve"> </w:t>
            </w:r>
            <w:r w:rsidRPr="00802ACA">
              <w:rPr>
                <w:sz w:val="20"/>
                <w:szCs w:val="20"/>
              </w:rPr>
              <w:t xml:space="preserve">des élèves sur une pratique expressive (enregistrement, vidéo…). </w:t>
            </w:r>
          </w:p>
          <w:p w14:paraId="33EA56C3" w14:textId="77777777" w:rsidR="00643FDB" w:rsidRPr="00802ACA" w:rsidRDefault="00643FDB" w:rsidP="00240A64">
            <w:pPr>
              <w:rPr>
                <w:sz w:val="20"/>
                <w:szCs w:val="20"/>
              </w:rPr>
            </w:pPr>
          </w:p>
          <w:p w14:paraId="0E489ACC" w14:textId="7BC3EB48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>Proposer un sujet (œuvre, artiste, thème en musique…) à explorer, à propos duquel une exploitation sera réalisée en classe ou un retour à distance demandé</w:t>
            </w:r>
            <w:r>
              <w:rPr>
                <w:sz w:val="20"/>
                <w:szCs w:val="20"/>
              </w:rPr>
              <w:t xml:space="preserve"> selon l’évolution de la situation.</w:t>
            </w:r>
          </w:p>
        </w:tc>
        <w:tc>
          <w:tcPr>
            <w:tcW w:w="2256" w:type="dxa"/>
          </w:tcPr>
          <w:p w14:paraId="12673FE8" w14:textId="77777777" w:rsidR="00643FDB" w:rsidRPr="00802ACA" w:rsidRDefault="00643FDB" w:rsidP="00240A64">
            <w:pPr>
              <w:rPr>
                <w:sz w:val="20"/>
                <w:szCs w:val="20"/>
              </w:rPr>
            </w:pPr>
            <w:r w:rsidRPr="00802ACA">
              <w:rPr>
                <w:sz w:val="20"/>
                <w:szCs w:val="20"/>
              </w:rPr>
              <w:t xml:space="preserve">Tableau des compétences p. 14 </w:t>
            </w:r>
          </w:p>
        </w:tc>
      </w:tr>
    </w:tbl>
    <w:p w14:paraId="345AD983" w14:textId="77777777" w:rsidR="00D22A49" w:rsidRPr="00802ACA" w:rsidRDefault="00D22A49">
      <w:pPr>
        <w:rPr>
          <w:sz w:val="20"/>
          <w:szCs w:val="20"/>
        </w:rPr>
      </w:pPr>
    </w:p>
    <w:p w14:paraId="5B736C1E" w14:textId="63563604" w:rsidR="00037B10" w:rsidRDefault="002D6A6F">
      <w:pPr>
        <w:rPr>
          <w:i/>
          <w:sz w:val="20"/>
          <w:szCs w:val="20"/>
        </w:rPr>
      </w:pPr>
      <w:r w:rsidRPr="00802ACA">
        <w:rPr>
          <w:sz w:val="20"/>
          <w:szCs w:val="20"/>
        </w:rPr>
        <w:t xml:space="preserve">NB : </w:t>
      </w:r>
      <w:r w:rsidRPr="00802ACA">
        <w:rPr>
          <w:i/>
          <w:sz w:val="20"/>
          <w:szCs w:val="20"/>
        </w:rPr>
        <w:t>La planification étant du ressort de l’enseignant et des équipes, tout le monde n’envisage pas les contenus dans le même ordre.  Les propositions reprises dans le tableau sont de l’ordre de</w:t>
      </w:r>
      <w:r w:rsidR="00C25567">
        <w:rPr>
          <w:i/>
          <w:sz w:val="20"/>
          <w:szCs w:val="20"/>
        </w:rPr>
        <w:t>s</w:t>
      </w:r>
      <w:r w:rsidRPr="00802ACA">
        <w:rPr>
          <w:i/>
          <w:sz w:val="20"/>
          <w:szCs w:val="20"/>
        </w:rPr>
        <w:t xml:space="preserve"> conseils</w:t>
      </w:r>
      <w:r w:rsidR="00C25567">
        <w:rPr>
          <w:i/>
          <w:sz w:val="20"/>
          <w:szCs w:val="20"/>
        </w:rPr>
        <w:t>. I</w:t>
      </w:r>
      <w:r w:rsidRPr="00802ACA">
        <w:rPr>
          <w:i/>
          <w:sz w:val="20"/>
          <w:szCs w:val="20"/>
        </w:rPr>
        <w:t>l se peut que les compétences pointées aient déjà fait</w:t>
      </w:r>
      <w:r w:rsidR="00ED35A4" w:rsidRPr="00802ACA">
        <w:rPr>
          <w:i/>
          <w:sz w:val="20"/>
          <w:szCs w:val="20"/>
        </w:rPr>
        <w:t xml:space="preserve"> </w:t>
      </w:r>
      <w:r w:rsidRPr="00802ACA">
        <w:rPr>
          <w:i/>
          <w:sz w:val="20"/>
          <w:szCs w:val="20"/>
        </w:rPr>
        <w:t>suffisamment l’objet d’exercices et de certification par certains enseignants. Ces lignes directrices constituent toutefois un minimum à viser, permett</w:t>
      </w:r>
      <w:r w:rsidR="00E56AC1">
        <w:rPr>
          <w:i/>
          <w:sz w:val="20"/>
          <w:szCs w:val="20"/>
        </w:rPr>
        <w:t>e</w:t>
      </w:r>
      <w:r w:rsidRPr="00802ACA">
        <w:rPr>
          <w:i/>
          <w:sz w:val="20"/>
          <w:szCs w:val="20"/>
        </w:rPr>
        <w:t>nt un alignement relatif et offrent la possibilité de s’y référer en cas de souci d’évaluation.</w:t>
      </w:r>
    </w:p>
    <w:p w14:paraId="4ED8557A" w14:textId="2516A7D6" w:rsidR="00802ACA" w:rsidRDefault="00AC7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Le site fesec.be propose des ressources à distance pour ces matières sous l’onglet « Arts » (y compris en éducation musicale)</w:t>
      </w:r>
    </w:p>
    <w:p w14:paraId="1C779FAD" w14:textId="1EA24576" w:rsidR="00802ACA" w:rsidRDefault="009F7829">
      <w:pPr>
        <w:rPr>
          <w:sz w:val="20"/>
          <w:szCs w:val="20"/>
        </w:rPr>
      </w:pPr>
      <w:r>
        <w:rPr>
          <w:sz w:val="20"/>
          <w:szCs w:val="20"/>
        </w:rPr>
        <w:t>Pour toute question</w:t>
      </w:r>
      <w:r w:rsidR="00AC79B7">
        <w:rPr>
          <w:sz w:val="20"/>
          <w:szCs w:val="20"/>
        </w:rPr>
        <w:t xml:space="preserve"> et aide supplémentaire</w:t>
      </w:r>
      <w:r>
        <w:rPr>
          <w:sz w:val="20"/>
          <w:szCs w:val="20"/>
        </w:rPr>
        <w:t xml:space="preserve"> : </w:t>
      </w:r>
      <w:hyperlink r:id="rId11" w:history="1">
        <w:r w:rsidR="007F60BA" w:rsidRPr="00135C2F">
          <w:rPr>
            <w:rStyle w:val="Lienhypertexte"/>
            <w:sz w:val="20"/>
            <w:szCs w:val="20"/>
          </w:rPr>
          <w:t>emmanuelle.detry@segec.be</w:t>
        </w:r>
      </w:hyperlink>
    </w:p>
    <w:p w14:paraId="3901908D" w14:textId="77777777" w:rsidR="007F60BA" w:rsidRPr="00802ACA" w:rsidRDefault="007F60BA">
      <w:pPr>
        <w:rPr>
          <w:sz w:val="20"/>
          <w:szCs w:val="20"/>
        </w:rPr>
      </w:pPr>
    </w:p>
    <w:sectPr w:rsidR="007F60BA" w:rsidRPr="00802A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2A48" w14:textId="77777777" w:rsidR="00D67312" w:rsidRDefault="00D67312" w:rsidP="006937B7">
      <w:pPr>
        <w:spacing w:after="0" w:line="240" w:lineRule="auto"/>
      </w:pPr>
      <w:r>
        <w:separator/>
      </w:r>
    </w:p>
  </w:endnote>
  <w:endnote w:type="continuationSeparator" w:id="0">
    <w:p w14:paraId="491AD6BE" w14:textId="77777777" w:rsidR="00D67312" w:rsidRDefault="00D67312" w:rsidP="0069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BE28" w14:textId="77777777" w:rsidR="006937B7" w:rsidRDefault="006937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F251" w14:textId="635B7D17" w:rsidR="006937B7" w:rsidRDefault="006937B7" w:rsidP="006937B7">
    <w:pPr>
      <w:pStyle w:val="Pieddepage"/>
      <w:tabs>
        <w:tab w:val="clear" w:pos="453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AD557" wp14:editId="5242B39D">
          <wp:simplePos x="0" y="0"/>
          <wp:positionH relativeFrom="column">
            <wp:posOffset>1905</wp:posOffset>
          </wp:positionH>
          <wp:positionV relativeFrom="paragraph">
            <wp:posOffset>-229235</wp:posOffset>
          </wp:positionV>
          <wp:extent cx="613410" cy="35941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id w:val="47804086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B1C2" w14:textId="77777777" w:rsidR="006937B7" w:rsidRDefault="006937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2AA5" w14:textId="77777777" w:rsidR="00D67312" w:rsidRDefault="00D67312" w:rsidP="006937B7">
      <w:pPr>
        <w:spacing w:after="0" w:line="240" w:lineRule="auto"/>
      </w:pPr>
      <w:r>
        <w:separator/>
      </w:r>
    </w:p>
  </w:footnote>
  <w:footnote w:type="continuationSeparator" w:id="0">
    <w:p w14:paraId="7E60816C" w14:textId="77777777" w:rsidR="00D67312" w:rsidRDefault="00D67312" w:rsidP="0069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0AC8" w14:textId="77777777" w:rsidR="006937B7" w:rsidRDefault="006937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9101" w14:textId="77777777" w:rsidR="006937B7" w:rsidRDefault="006937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CC36" w14:textId="77777777" w:rsidR="006937B7" w:rsidRDefault="00693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8"/>
    <w:rsid w:val="000308C8"/>
    <w:rsid w:val="00037B10"/>
    <w:rsid w:val="000964C5"/>
    <w:rsid w:val="002D6A6F"/>
    <w:rsid w:val="003C7926"/>
    <w:rsid w:val="004F6E18"/>
    <w:rsid w:val="005109D9"/>
    <w:rsid w:val="00557BDE"/>
    <w:rsid w:val="005B0B0E"/>
    <w:rsid w:val="00643FDB"/>
    <w:rsid w:val="006937B7"/>
    <w:rsid w:val="00713303"/>
    <w:rsid w:val="007F60BA"/>
    <w:rsid w:val="00802ACA"/>
    <w:rsid w:val="009F7829"/>
    <w:rsid w:val="00AC79B7"/>
    <w:rsid w:val="00B467ED"/>
    <w:rsid w:val="00BC27E5"/>
    <w:rsid w:val="00BD211A"/>
    <w:rsid w:val="00C25567"/>
    <w:rsid w:val="00C919B4"/>
    <w:rsid w:val="00CD22CF"/>
    <w:rsid w:val="00D22A49"/>
    <w:rsid w:val="00D67312"/>
    <w:rsid w:val="00DD4B8D"/>
    <w:rsid w:val="00DD700C"/>
    <w:rsid w:val="00E064C6"/>
    <w:rsid w:val="00E56AC1"/>
    <w:rsid w:val="00E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3ACB"/>
  <w15:chartTrackingRefBased/>
  <w15:docId w15:val="{3B7B739B-474C-4B94-85D7-8871E56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22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60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0B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92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C792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9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7B7"/>
  </w:style>
  <w:style w:type="paragraph" w:styleId="Pieddepage">
    <w:name w:val="footer"/>
    <w:basedOn w:val="Normal"/>
    <w:link w:val="PieddepageCar"/>
    <w:uiPriority w:val="99"/>
    <w:unhideWhenUsed/>
    <w:rsid w:val="0069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nuelle.detry@sege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Dessambre Charline</DisplayName>
        <AccountId>134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D69C-34D1-46BE-B073-F1580BAAED2A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2.xml><?xml version="1.0" encoding="utf-8"?>
<ds:datastoreItem xmlns:ds="http://schemas.openxmlformats.org/officeDocument/2006/customXml" ds:itemID="{1ED4D8CE-D8B4-495E-9942-2877908D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769C0-F73E-4D0C-9BD8-544EF2E82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B4D1A-7E74-4F10-AA6A-D08BAA42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25</cp:revision>
  <dcterms:created xsi:type="dcterms:W3CDTF">2020-04-16T07:33:00Z</dcterms:created>
  <dcterms:modified xsi:type="dcterms:W3CDTF">2020-04-16T12:40:00Z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