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57D2" w14:textId="221BF5B3" w:rsidR="00F9648B" w:rsidRPr="009905E3" w:rsidRDefault="009905E3" w:rsidP="608E1A7F">
      <w:pPr>
        <w:rPr>
          <w:b/>
          <w:bCs/>
          <w:sz w:val="32"/>
          <w:szCs w:val="28"/>
        </w:rPr>
      </w:pPr>
      <w:r w:rsidRPr="009905E3">
        <w:rPr>
          <w:noProof/>
          <w:sz w:val="24"/>
        </w:rPr>
        <w:drawing>
          <wp:anchor distT="0" distB="0" distL="114300" distR="114300" simplePos="0" relativeHeight="251658240" behindDoc="0" locked="0" layoutInCell="1" allowOverlap="1" wp14:anchorId="25AD858F" wp14:editId="4B94FEB2">
            <wp:simplePos x="0" y="0"/>
            <wp:positionH relativeFrom="column">
              <wp:posOffset>-4445</wp:posOffset>
            </wp:positionH>
            <wp:positionV relativeFrom="paragraph">
              <wp:posOffset>0</wp:posOffset>
            </wp:positionV>
            <wp:extent cx="1594485" cy="935990"/>
            <wp:effectExtent l="0" t="0" r="5715" b="0"/>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4485" cy="935990"/>
                    </a:xfrm>
                    <a:prstGeom prst="rect">
                      <a:avLst/>
                    </a:prstGeom>
                  </pic:spPr>
                </pic:pic>
              </a:graphicData>
            </a:graphic>
            <wp14:sizeRelH relativeFrom="margin">
              <wp14:pctWidth>0</wp14:pctWidth>
            </wp14:sizeRelH>
            <wp14:sizeRelV relativeFrom="margin">
              <wp14:pctHeight>0</wp14:pctHeight>
            </wp14:sizeRelV>
          </wp:anchor>
        </w:drawing>
      </w:r>
      <w:r w:rsidR="002D15DB" w:rsidRPr="009905E3">
        <w:rPr>
          <w:b/>
          <w:bCs/>
          <w:sz w:val="32"/>
          <w:szCs w:val="28"/>
        </w:rPr>
        <w:t>Options artistiques D3 GT et TT – Apprentissages à favoriser</w:t>
      </w:r>
    </w:p>
    <w:p w14:paraId="1608F48D" w14:textId="592D2C8C" w:rsidR="002D15DB" w:rsidRDefault="002D15DB">
      <w:pPr>
        <w:rPr>
          <w:b/>
          <w:sz w:val="28"/>
          <w:szCs w:val="28"/>
        </w:rPr>
      </w:pPr>
    </w:p>
    <w:p w14:paraId="3512D81E" w14:textId="77777777" w:rsidR="009905E3" w:rsidRDefault="009905E3">
      <w:pPr>
        <w:rPr>
          <w:b/>
          <w:sz w:val="28"/>
          <w:szCs w:val="28"/>
        </w:rPr>
      </w:pPr>
    </w:p>
    <w:p w14:paraId="709A6FDB" w14:textId="65D2070A" w:rsidR="002D15DB" w:rsidRDefault="002D15DB" w:rsidP="608E1A7F">
      <w:pPr>
        <w:rPr>
          <w:i/>
          <w:iCs/>
          <w:sz w:val="20"/>
          <w:szCs w:val="20"/>
        </w:rPr>
      </w:pPr>
      <w:r w:rsidRPr="608E1A7F">
        <w:rPr>
          <w:i/>
          <w:iCs/>
          <w:sz w:val="20"/>
          <w:szCs w:val="20"/>
        </w:rPr>
        <w:t>NB : Les conseils suivants sont d’ordre très général, et sans doute déjà mis en place par bon nombre d’enseignant</w:t>
      </w:r>
      <w:r w:rsidR="12D15AC8" w:rsidRPr="608E1A7F">
        <w:rPr>
          <w:i/>
          <w:iCs/>
          <w:sz w:val="20"/>
          <w:szCs w:val="20"/>
        </w:rPr>
        <w:t>s</w:t>
      </w:r>
      <w:r w:rsidRPr="608E1A7F">
        <w:rPr>
          <w:i/>
          <w:iCs/>
          <w:sz w:val="20"/>
          <w:szCs w:val="20"/>
        </w:rPr>
        <w:t xml:space="preserve">. Ces lignes directrices permettront toutefois un alignement relatif et offrent la possibilité de s’y référer en cas de souci d’évaluation. Pour toute question : </w:t>
      </w:r>
      <w:hyperlink r:id="rId10">
        <w:r w:rsidRPr="608E1A7F">
          <w:rPr>
            <w:rStyle w:val="Lienhypertexte"/>
            <w:i/>
            <w:iCs/>
            <w:sz w:val="20"/>
            <w:szCs w:val="20"/>
          </w:rPr>
          <w:t>emmanuelle.detry@segec.be</w:t>
        </w:r>
      </w:hyperlink>
      <w:r w:rsidRPr="608E1A7F">
        <w:rPr>
          <w:i/>
          <w:iCs/>
          <w:sz w:val="20"/>
          <w:szCs w:val="20"/>
        </w:rPr>
        <w:t xml:space="preserve"> et </w:t>
      </w:r>
      <w:hyperlink r:id="rId11">
        <w:r w:rsidRPr="608E1A7F">
          <w:rPr>
            <w:rStyle w:val="Lienhypertexte"/>
            <w:i/>
            <w:iCs/>
            <w:sz w:val="20"/>
            <w:szCs w:val="20"/>
          </w:rPr>
          <w:t>bernard.louis@segec.be</w:t>
        </w:r>
      </w:hyperlink>
    </w:p>
    <w:p w14:paraId="6FC20BF5" w14:textId="77777777" w:rsidR="002D15DB" w:rsidRDefault="002D15DB" w:rsidP="002D15DB">
      <w:pPr>
        <w:rPr>
          <w:i/>
          <w:sz w:val="20"/>
          <w:szCs w:val="20"/>
        </w:rPr>
      </w:pPr>
    </w:p>
    <w:tbl>
      <w:tblPr>
        <w:tblStyle w:val="Grilledutableau"/>
        <w:tblW w:w="0" w:type="auto"/>
        <w:tblLook w:val="04A0" w:firstRow="1" w:lastRow="0" w:firstColumn="1" w:lastColumn="0" w:noHBand="0" w:noVBand="1"/>
      </w:tblPr>
      <w:tblGrid>
        <w:gridCol w:w="751"/>
        <w:gridCol w:w="2221"/>
        <w:gridCol w:w="3834"/>
        <w:gridCol w:w="2256"/>
      </w:tblGrid>
      <w:tr w:rsidR="002D15DB" w:rsidRPr="002D15DB" w14:paraId="51277800" w14:textId="77777777" w:rsidTr="608E1A7F">
        <w:tc>
          <w:tcPr>
            <w:tcW w:w="751" w:type="dxa"/>
          </w:tcPr>
          <w:p w14:paraId="0251A953" w14:textId="77777777" w:rsidR="002D15DB" w:rsidRPr="002D15DB" w:rsidRDefault="002D15DB" w:rsidP="002D15DB">
            <w:pPr>
              <w:rPr>
                <w:b/>
                <w:sz w:val="20"/>
                <w:szCs w:val="20"/>
              </w:rPr>
            </w:pPr>
            <w:r w:rsidRPr="002D15DB">
              <w:rPr>
                <w:b/>
                <w:sz w:val="20"/>
                <w:szCs w:val="20"/>
              </w:rPr>
              <w:t>Degré</w:t>
            </w:r>
          </w:p>
        </w:tc>
        <w:tc>
          <w:tcPr>
            <w:tcW w:w="2221" w:type="dxa"/>
          </w:tcPr>
          <w:p w14:paraId="11D9773F" w14:textId="77777777" w:rsidR="002D15DB" w:rsidRPr="002D15DB" w:rsidRDefault="002D15DB" w:rsidP="002D15DB">
            <w:pPr>
              <w:rPr>
                <w:b/>
                <w:sz w:val="20"/>
                <w:szCs w:val="20"/>
              </w:rPr>
            </w:pPr>
            <w:r w:rsidRPr="002D15DB">
              <w:rPr>
                <w:b/>
                <w:sz w:val="20"/>
                <w:szCs w:val="20"/>
              </w:rPr>
              <w:t>Intitulé du programme</w:t>
            </w:r>
          </w:p>
        </w:tc>
        <w:tc>
          <w:tcPr>
            <w:tcW w:w="3834" w:type="dxa"/>
          </w:tcPr>
          <w:p w14:paraId="5EC0782A" w14:textId="77777777" w:rsidR="002D15DB" w:rsidRPr="002D15DB" w:rsidRDefault="002D15DB" w:rsidP="002D15DB">
            <w:pPr>
              <w:rPr>
                <w:b/>
                <w:sz w:val="20"/>
                <w:szCs w:val="20"/>
              </w:rPr>
            </w:pPr>
            <w:r w:rsidRPr="002D15DB">
              <w:rPr>
                <w:b/>
                <w:sz w:val="20"/>
                <w:szCs w:val="20"/>
              </w:rPr>
              <w:t>Conseils</w:t>
            </w:r>
          </w:p>
        </w:tc>
        <w:tc>
          <w:tcPr>
            <w:tcW w:w="2256" w:type="dxa"/>
          </w:tcPr>
          <w:p w14:paraId="18CED0A8" w14:textId="77777777" w:rsidR="002D15DB" w:rsidRPr="002D15DB" w:rsidRDefault="002D15DB" w:rsidP="002D15DB">
            <w:pPr>
              <w:rPr>
                <w:b/>
                <w:sz w:val="20"/>
                <w:szCs w:val="20"/>
              </w:rPr>
            </w:pPr>
            <w:r w:rsidRPr="002D15DB">
              <w:rPr>
                <w:b/>
                <w:sz w:val="20"/>
                <w:szCs w:val="20"/>
              </w:rPr>
              <w:t>Référence (pages dans le programme)</w:t>
            </w:r>
          </w:p>
        </w:tc>
      </w:tr>
      <w:tr w:rsidR="002D15DB" w:rsidRPr="002D15DB" w14:paraId="261321E5" w14:textId="77777777" w:rsidTr="608E1A7F">
        <w:tc>
          <w:tcPr>
            <w:tcW w:w="751" w:type="dxa"/>
          </w:tcPr>
          <w:p w14:paraId="72336FF7" w14:textId="77777777" w:rsidR="002D15DB" w:rsidRPr="002D15DB" w:rsidRDefault="002D15DB" w:rsidP="002D15DB">
            <w:pPr>
              <w:rPr>
                <w:sz w:val="20"/>
                <w:szCs w:val="20"/>
              </w:rPr>
            </w:pPr>
            <w:r w:rsidRPr="002D15DB">
              <w:rPr>
                <w:sz w:val="20"/>
                <w:szCs w:val="20"/>
              </w:rPr>
              <w:t>D3 GT</w:t>
            </w:r>
          </w:p>
        </w:tc>
        <w:tc>
          <w:tcPr>
            <w:tcW w:w="2221" w:type="dxa"/>
          </w:tcPr>
          <w:p w14:paraId="3A5B3A03" w14:textId="77777777" w:rsidR="002D15DB" w:rsidRPr="002D15DB" w:rsidRDefault="002D15DB" w:rsidP="002D15DB">
            <w:pPr>
              <w:rPr>
                <w:sz w:val="20"/>
                <w:szCs w:val="20"/>
              </w:rPr>
            </w:pPr>
            <w:r w:rsidRPr="002D15DB">
              <w:rPr>
                <w:sz w:val="20"/>
                <w:szCs w:val="20"/>
              </w:rPr>
              <w:t>Arts d’expression</w:t>
            </w:r>
          </w:p>
        </w:tc>
        <w:tc>
          <w:tcPr>
            <w:tcW w:w="3834" w:type="dxa"/>
          </w:tcPr>
          <w:p w14:paraId="58CD527D" w14:textId="5B451F11" w:rsidR="002D15DB" w:rsidRPr="002D15DB" w:rsidRDefault="002D15DB" w:rsidP="002D15DB">
            <w:pPr>
              <w:rPr>
                <w:sz w:val="20"/>
                <w:szCs w:val="20"/>
              </w:rPr>
            </w:pPr>
            <w:r w:rsidRPr="608E1A7F">
              <w:rPr>
                <w:sz w:val="20"/>
                <w:szCs w:val="20"/>
              </w:rPr>
              <w:t>Adaptation des projets en cours, au niveau de leur ampleur surtout. Viser l’expression et ne pas accentuer les démarches de contextualisation (les « prémâcher » un peu plus)</w:t>
            </w:r>
            <w:r w:rsidR="203E3178" w:rsidRPr="608E1A7F">
              <w:rPr>
                <w:sz w:val="20"/>
                <w:szCs w:val="20"/>
              </w:rPr>
              <w:t>. P</w:t>
            </w:r>
            <w:r w:rsidRPr="608E1A7F">
              <w:rPr>
                <w:sz w:val="20"/>
                <w:szCs w:val="20"/>
              </w:rPr>
              <w:t>ar contre</w:t>
            </w:r>
            <w:r w:rsidR="6D2B08A2" w:rsidRPr="608E1A7F">
              <w:rPr>
                <w:sz w:val="20"/>
                <w:szCs w:val="20"/>
              </w:rPr>
              <w:t>,</w:t>
            </w:r>
            <w:r w:rsidRPr="608E1A7F">
              <w:rPr>
                <w:sz w:val="20"/>
                <w:szCs w:val="20"/>
              </w:rPr>
              <w:t xml:space="preserve"> veiller à garder un équilibre entre les trois sphères d’apprentissage. </w:t>
            </w:r>
            <w:r w:rsidR="788AE79D" w:rsidRPr="608E1A7F">
              <w:rPr>
                <w:sz w:val="20"/>
                <w:szCs w:val="20"/>
              </w:rPr>
              <w:t>N</w:t>
            </w:r>
            <w:r w:rsidRPr="608E1A7F">
              <w:rPr>
                <w:sz w:val="20"/>
                <w:szCs w:val="20"/>
              </w:rPr>
              <w:t>e pas sacrifier les aspects dramaturgie/ mise en scène et régie/scénographie au profit des seules pratiques de jeu.</w:t>
            </w:r>
          </w:p>
        </w:tc>
        <w:tc>
          <w:tcPr>
            <w:tcW w:w="2256" w:type="dxa"/>
          </w:tcPr>
          <w:p w14:paraId="57E2779A" w14:textId="77777777" w:rsidR="002D15DB" w:rsidRPr="002D15DB" w:rsidRDefault="002D15DB" w:rsidP="002D15DB">
            <w:pPr>
              <w:rPr>
                <w:sz w:val="20"/>
                <w:szCs w:val="20"/>
              </w:rPr>
            </w:pPr>
            <w:r w:rsidRPr="002D15DB">
              <w:rPr>
                <w:sz w:val="20"/>
                <w:szCs w:val="20"/>
              </w:rPr>
              <w:t>Voir contenus des sphères pp. 29-34 critères et indicateurs p. 39</w:t>
            </w:r>
          </w:p>
        </w:tc>
      </w:tr>
      <w:tr w:rsidR="002D15DB" w:rsidRPr="002D15DB" w14:paraId="6BEA47B1" w14:textId="77777777" w:rsidTr="608E1A7F">
        <w:tc>
          <w:tcPr>
            <w:tcW w:w="751" w:type="dxa"/>
          </w:tcPr>
          <w:p w14:paraId="47080497" w14:textId="77777777" w:rsidR="002D15DB" w:rsidRPr="002D15DB" w:rsidRDefault="002D15DB" w:rsidP="002D15DB">
            <w:pPr>
              <w:rPr>
                <w:sz w:val="20"/>
                <w:szCs w:val="20"/>
              </w:rPr>
            </w:pPr>
            <w:r w:rsidRPr="002D15DB">
              <w:rPr>
                <w:sz w:val="20"/>
                <w:szCs w:val="20"/>
              </w:rPr>
              <w:t>D3 GT</w:t>
            </w:r>
          </w:p>
        </w:tc>
        <w:tc>
          <w:tcPr>
            <w:tcW w:w="2221" w:type="dxa"/>
          </w:tcPr>
          <w:p w14:paraId="19A4E9C0" w14:textId="77777777" w:rsidR="002D15DB" w:rsidRPr="002D15DB" w:rsidRDefault="002D15DB" w:rsidP="002D15DB">
            <w:pPr>
              <w:rPr>
                <w:sz w:val="20"/>
                <w:szCs w:val="20"/>
              </w:rPr>
            </w:pPr>
            <w:r w:rsidRPr="002D15DB">
              <w:rPr>
                <w:sz w:val="20"/>
                <w:szCs w:val="20"/>
              </w:rPr>
              <w:t>Education artistique</w:t>
            </w:r>
          </w:p>
        </w:tc>
        <w:tc>
          <w:tcPr>
            <w:tcW w:w="3834" w:type="dxa"/>
          </w:tcPr>
          <w:p w14:paraId="66A83CDF" w14:textId="77777777" w:rsidR="002D15DB" w:rsidRPr="002D15DB" w:rsidRDefault="002D15DB" w:rsidP="002D15DB">
            <w:pPr>
              <w:rPr>
                <w:sz w:val="20"/>
                <w:szCs w:val="20"/>
              </w:rPr>
            </w:pPr>
            <w:r w:rsidRPr="002D15DB">
              <w:rPr>
                <w:sz w:val="20"/>
                <w:szCs w:val="20"/>
              </w:rPr>
              <w:t>Viser l’aboutissement des projets d’élèves en cours. Axer sur la concrétisation, ne plus trop développer la démarche d’observation si elle a déjà été bien exercée auparavant.</w:t>
            </w:r>
          </w:p>
        </w:tc>
        <w:tc>
          <w:tcPr>
            <w:tcW w:w="2256" w:type="dxa"/>
          </w:tcPr>
          <w:p w14:paraId="5F3413D9" w14:textId="77777777" w:rsidR="002D15DB" w:rsidRPr="002D15DB" w:rsidRDefault="002D15DB" w:rsidP="002D15DB">
            <w:pPr>
              <w:rPr>
                <w:sz w:val="20"/>
                <w:szCs w:val="20"/>
              </w:rPr>
            </w:pPr>
            <w:r w:rsidRPr="002D15DB">
              <w:rPr>
                <w:sz w:val="20"/>
                <w:szCs w:val="20"/>
              </w:rPr>
              <w:t>Voir critères et indicateurs p. 33</w:t>
            </w:r>
          </w:p>
        </w:tc>
      </w:tr>
      <w:tr w:rsidR="002D15DB" w:rsidRPr="002D15DB" w14:paraId="10D9922A" w14:textId="77777777" w:rsidTr="608E1A7F">
        <w:tc>
          <w:tcPr>
            <w:tcW w:w="751" w:type="dxa"/>
          </w:tcPr>
          <w:p w14:paraId="15CD45AB" w14:textId="77777777" w:rsidR="002D15DB" w:rsidRPr="002D15DB" w:rsidRDefault="002D15DB" w:rsidP="002D15DB">
            <w:pPr>
              <w:rPr>
                <w:sz w:val="20"/>
                <w:szCs w:val="20"/>
              </w:rPr>
            </w:pPr>
            <w:r w:rsidRPr="002D15DB">
              <w:rPr>
                <w:sz w:val="20"/>
                <w:szCs w:val="20"/>
              </w:rPr>
              <w:t>D3 TT</w:t>
            </w:r>
          </w:p>
        </w:tc>
        <w:tc>
          <w:tcPr>
            <w:tcW w:w="2221" w:type="dxa"/>
          </w:tcPr>
          <w:p w14:paraId="7EF6680A" w14:textId="77777777" w:rsidR="002D15DB" w:rsidRPr="002D15DB" w:rsidRDefault="002D15DB" w:rsidP="002D15DB">
            <w:pPr>
              <w:rPr>
                <w:sz w:val="20"/>
                <w:szCs w:val="20"/>
              </w:rPr>
            </w:pPr>
            <w:r w:rsidRPr="002D15DB">
              <w:rPr>
                <w:sz w:val="20"/>
                <w:szCs w:val="20"/>
              </w:rPr>
              <w:t>Arts</w:t>
            </w:r>
          </w:p>
        </w:tc>
        <w:tc>
          <w:tcPr>
            <w:tcW w:w="3834" w:type="dxa"/>
          </w:tcPr>
          <w:p w14:paraId="4E024D4E" w14:textId="77777777" w:rsidR="002D15DB" w:rsidRPr="002D15DB" w:rsidRDefault="002D15DB" w:rsidP="002D15DB">
            <w:pPr>
              <w:rPr>
                <w:sz w:val="20"/>
                <w:szCs w:val="20"/>
              </w:rPr>
            </w:pPr>
            <w:r w:rsidRPr="002D15DB">
              <w:rPr>
                <w:sz w:val="20"/>
                <w:szCs w:val="20"/>
              </w:rPr>
              <w:t>Viser l’aboutissement des projets en cours, surtout s’ils allient les différents cours de l’option.</w:t>
            </w:r>
          </w:p>
          <w:p w14:paraId="495C84F9" w14:textId="77777777" w:rsidR="002D15DB" w:rsidRPr="002D15DB" w:rsidRDefault="002D15DB" w:rsidP="002D15DB">
            <w:pPr>
              <w:rPr>
                <w:sz w:val="20"/>
                <w:szCs w:val="20"/>
              </w:rPr>
            </w:pPr>
            <w:r w:rsidRPr="002D15DB">
              <w:rPr>
                <w:sz w:val="20"/>
                <w:szCs w:val="20"/>
              </w:rPr>
              <w:t>Privilégier des approches thématiques et non chronologiques en Histoire de l’art, afin d’appréhender plus rapidement des visuels variés.</w:t>
            </w:r>
          </w:p>
          <w:p w14:paraId="7D6623EA" w14:textId="77777777" w:rsidR="002D15DB" w:rsidRPr="002D15DB" w:rsidRDefault="002D15DB" w:rsidP="002D15DB">
            <w:pPr>
              <w:rPr>
                <w:sz w:val="20"/>
                <w:szCs w:val="20"/>
              </w:rPr>
            </w:pPr>
          </w:p>
        </w:tc>
        <w:tc>
          <w:tcPr>
            <w:tcW w:w="2256" w:type="dxa"/>
          </w:tcPr>
          <w:p w14:paraId="527CB195" w14:textId="77777777" w:rsidR="002D15DB" w:rsidRPr="002D15DB" w:rsidRDefault="002D15DB" w:rsidP="002D15DB">
            <w:pPr>
              <w:rPr>
                <w:sz w:val="20"/>
                <w:szCs w:val="20"/>
              </w:rPr>
            </w:pPr>
            <w:r w:rsidRPr="002D15DB">
              <w:rPr>
                <w:sz w:val="20"/>
                <w:szCs w:val="20"/>
              </w:rPr>
              <w:t>Voir le contenu « Dessin, recherche, projet » p.11 et suivantes</w:t>
            </w:r>
          </w:p>
          <w:p w14:paraId="14B5786C" w14:textId="77777777" w:rsidR="002D15DB" w:rsidRPr="002D15DB" w:rsidRDefault="002D15DB" w:rsidP="002D15DB">
            <w:pPr>
              <w:rPr>
                <w:sz w:val="20"/>
                <w:szCs w:val="20"/>
              </w:rPr>
            </w:pPr>
            <w:r w:rsidRPr="002D15DB">
              <w:rPr>
                <w:sz w:val="20"/>
                <w:szCs w:val="20"/>
              </w:rPr>
              <w:t>Et le contenu histoire de l’art p. 23</w:t>
            </w:r>
          </w:p>
        </w:tc>
      </w:tr>
      <w:tr w:rsidR="002D15DB" w:rsidRPr="002D15DB" w14:paraId="4F8C0536" w14:textId="77777777" w:rsidTr="608E1A7F">
        <w:tc>
          <w:tcPr>
            <w:tcW w:w="751" w:type="dxa"/>
          </w:tcPr>
          <w:p w14:paraId="05C92150" w14:textId="77777777" w:rsidR="002D15DB" w:rsidRPr="002D15DB" w:rsidRDefault="002D15DB" w:rsidP="002D15DB">
            <w:pPr>
              <w:rPr>
                <w:sz w:val="20"/>
                <w:szCs w:val="20"/>
              </w:rPr>
            </w:pPr>
            <w:r w:rsidRPr="002D15DB">
              <w:rPr>
                <w:sz w:val="20"/>
                <w:szCs w:val="20"/>
              </w:rPr>
              <w:t>D3 TT</w:t>
            </w:r>
          </w:p>
        </w:tc>
        <w:tc>
          <w:tcPr>
            <w:tcW w:w="2221" w:type="dxa"/>
          </w:tcPr>
          <w:p w14:paraId="100FBB8E" w14:textId="77777777" w:rsidR="002D15DB" w:rsidRPr="002D15DB" w:rsidRDefault="002D15DB" w:rsidP="002D15DB">
            <w:pPr>
              <w:rPr>
                <w:sz w:val="20"/>
                <w:szCs w:val="20"/>
              </w:rPr>
            </w:pPr>
            <w:r w:rsidRPr="002D15DB">
              <w:rPr>
                <w:sz w:val="20"/>
                <w:szCs w:val="20"/>
              </w:rPr>
              <w:t>Arts graphiques</w:t>
            </w:r>
          </w:p>
        </w:tc>
        <w:tc>
          <w:tcPr>
            <w:tcW w:w="3834" w:type="dxa"/>
          </w:tcPr>
          <w:p w14:paraId="469AE09F" w14:textId="77777777" w:rsidR="002D15DB" w:rsidRPr="002D15DB" w:rsidRDefault="002D15DB" w:rsidP="002D15DB">
            <w:pPr>
              <w:rPr>
                <w:sz w:val="20"/>
                <w:szCs w:val="20"/>
              </w:rPr>
            </w:pPr>
            <w:r w:rsidRPr="002D15DB">
              <w:rPr>
                <w:sz w:val="20"/>
                <w:szCs w:val="20"/>
              </w:rPr>
              <w:t>Viser l’aboutissement des projets en cours, repenser les choses en articulation avec le D2 (répartition des contenus si redondances). Ne pas accentuer les éléments relevant de l’historique ou de la fabrication du papier par exemple.  Privilégier l’aboutissement des projets concrets de fin d’année.</w:t>
            </w:r>
          </w:p>
        </w:tc>
        <w:tc>
          <w:tcPr>
            <w:tcW w:w="2256" w:type="dxa"/>
          </w:tcPr>
          <w:p w14:paraId="3EA809C8" w14:textId="77777777" w:rsidR="002D15DB" w:rsidRPr="002D15DB" w:rsidRDefault="002D15DB" w:rsidP="002D15DB">
            <w:pPr>
              <w:rPr>
                <w:sz w:val="20"/>
                <w:szCs w:val="20"/>
              </w:rPr>
            </w:pPr>
            <w:r w:rsidRPr="002D15DB">
              <w:rPr>
                <w:sz w:val="20"/>
                <w:szCs w:val="20"/>
              </w:rPr>
              <w:t>Voir contenus au D2 p. 15</w:t>
            </w:r>
          </w:p>
        </w:tc>
        <w:bookmarkStart w:id="0" w:name="_GoBack"/>
        <w:bookmarkEnd w:id="0"/>
      </w:tr>
      <w:tr w:rsidR="002D15DB" w:rsidRPr="002D15DB" w14:paraId="2AAFF2E3" w14:textId="77777777" w:rsidTr="608E1A7F">
        <w:tc>
          <w:tcPr>
            <w:tcW w:w="751" w:type="dxa"/>
          </w:tcPr>
          <w:p w14:paraId="49B0D45D" w14:textId="77777777" w:rsidR="002D15DB" w:rsidRPr="002D15DB" w:rsidRDefault="002D15DB" w:rsidP="002D15DB">
            <w:pPr>
              <w:rPr>
                <w:sz w:val="20"/>
                <w:szCs w:val="20"/>
              </w:rPr>
            </w:pPr>
            <w:r w:rsidRPr="002D15DB">
              <w:rPr>
                <w:sz w:val="20"/>
                <w:szCs w:val="20"/>
              </w:rPr>
              <w:t>D3 TT</w:t>
            </w:r>
          </w:p>
        </w:tc>
        <w:tc>
          <w:tcPr>
            <w:tcW w:w="2221" w:type="dxa"/>
          </w:tcPr>
          <w:p w14:paraId="1FCFD545" w14:textId="77777777" w:rsidR="002D15DB" w:rsidRPr="002D15DB" w:rsidRDefault="002D15DB" w:rsidP="002D15DB">
            <w:pPr>
              <w:rPr>
                <w:sz w:val="20"/>
                <w:szCs w:val="20"/>
              </w:rPr>
            </w:pPr>
            <w:r w:rsidRPr="002D15DB">
              <w:rPr>
                <w:sz w:val="20"/>
                <w:szCs w:val="20"/>
              </w:rPr>
              <w:t>Audiovisuel</w:t>
            </w:r>
          </w:p>
        </w:tc>
        <w:tc>
          <w:tcPr>
            <w:tcW w:w="3834" w:type="dxa"/>
          </w:tcPr>
          <w:p w14:paraId="0335779C" w14:textId="77777777" w:rsidR="002D15DB" w:rsidRPr="002D15DB" w:rsidRDefault="002D15DB" w:rsidP="002D15DB">
            <w:pPr>
              <w:rPr>
                <w:sz w:val="20"/>
                <w:szCs w:val="20"/>
              </w:rPr>
            </w:pPr>
            <w:r w:rsidRPr="002D15DB">
              <w:rPr>
                <w:sz w:val="20"/>
                <w:szCs w:val="20"/>
              </w:rPr>
              <w:t>Viser l’aboutissement des projets en cours, surtout s’ils allient les différents cours de l’option.</w:t>
            </w:r>
          </w:p>
          <w:p w14:paraId="353A5059" w14:textId="77777777" w:rsidR="002D15DB" w:rsidRPr="002D15DB" w:rsidRDefault="002D15DB" w:rsidP="002D15DB">
            <w:pPr>
              <w:rPr>
                <w:sz w:val="20"/>
                <w:szCs w:val="20"/>
              </w:rPr>
            </w:pPr>
            <w:r w:rsidRPr="002D15DB">
              <w:rPr>
                <w:sz w:val="20"/>
                <w:szCs w:val="20"/>
              </w:rPr>
              <w:t>Privilégier des approches thématiques et non chronologiques en Histoire de l’art, afin d’appréhender plus rapidement des visuels variés.</w:t>
            </w:r>
          </w:p>
          <w:p w14:paraId="1929346A" w14:textId="77777777" w:rsidR="002D15DB" w:rsidRPr="002D15DB" w:rsidRDefault="002D15DB" w:rsidP="002D15DB">
            <w:pPr>
              <w:rPr>
                <w:sz w:val="20"/>
                <w:szCs w:val="20"/>
              </w:rPr>
            </w:pPr>
          </w:p>
        </w:tc>
        <w:tc>
          <w:tcPr>
            <w:tcW w:w="2256" w:type="dxa"/>
          </w:tcPr>
          <w:p w14:paraId="5CCC74F6" w14:textId="77777777" w:rsidR="002D15DB" w:rsidRPr="002D15DB" w:rsidRDefault="002D15DB" w:rsidP="002D15DB">
            <w:pPr>
              <w:rPr>
                <w:sz w:val="20"/>
                <w:szCs w:val="20"/>
              </w:rPr>
            </w:pPr>
            <w:r w:rsidRPr="002D15DB">
              <w:rPr>
                <w:sz w:val="20"/>
                <w:szCs w:val="20"/>
              </w:rPr>
              <w:t>Contenus p. 10 et suivantes</w:t>
            </w:r>
          </w:p>
        </w:tc>
      </w:tr>
    </w:tbl>
    <w:p w14:paraId="3B05A90F" w14:textId="77777777" w:rsidR="002D15DB" w:rsidRPr="002D15DB" w:rsidRDefault="002D15DB" w:rsidP="002D15DB">
      <w:pPr>
        <w:rPr>
          <w:i/>
          <w:sz w:val="20"/>
          <w:szCs w:val="20"/>
        </w:rPr>
      </w:pPr>
      <w:r>
        <w:rPr>
          <w:i/>
          <w:sz w:val="20"/>
          <w:szCs w:val="20"/>
        </w:rPr>
        <w:t xml:space="preserve"> </w:t>
      </w:r>
    </w:p>
    <w:sectPr w:rsidR="002D15DB" w:rsidRPr="002D15D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91C2" w14:textId="77777777" w:rsidR="009905E3" w:rsidRDefault="009905E3" w:rsidP="009905E3">
      <w:pPr>
        <w:spacing w:after="0" w:line="240" w:lineRule="auto"/>
      </w:pPr>
      <w:r>
        <w:separator/>
      </w:r>
    </w:p>
  </w:endnote>
  <w:endnote w:type="continuationSeparator" w:id="0">
    <w:p w14:paraId="5812A2C5" w14:textId="77777777" w:rsidR="009905E3" w:rsidRDefault="009905E3" w:rsidP="0099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7386" w14:textId="77777777" w:rsidR="009905E3" w:rsidRDefault="0099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0525" w14:textId="77777777" w:rsidR="009905E3" w:rsidRDefault="009905E3" w:rsidP="009905E3">
      <w:pPr>
        <w:spacing w:after="0" w:line="240" w:lineRule="auto"/>
      </w:pPr>
      <w:r>
        <w:separator/>
      </w:r>
    </w:p>
  </w:footnote>
  <w:footnote w:type="continuationSeparator" w:id="0">
    <w:p w14:paraId="662E7F19" w14:textId="77777777" w:rsidR="009905E3" w:rsidRDefault="009905E3" w:rsidP="00990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DB"/>
    <w:rsid w:val="002D15DB"/>
    <w:rsid w:val="009905E3"/>
    <w:rsid w:val="00F9648B"/>
    <w:rsid w:val="12D15AC8"/>
    <w:rsid w:val="203E3178"/>
    <w:rsid w:val="2D19BCC6"/>
    <w:rsid w:val="4FFF9FD8"/>
    <w:rsid w:val="608E1A7F"/>
    <w:rsid w:val="6D2B08A2"/>
    <w:rsid w:val="788AE7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14EC"/>
  <w15:chartTrackingRefBased/>
  <w15:docId w15:val="{D607BA46-569D-4386-9A99-0B94E8F8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15DB"/>
    <w:rPr>
      <w:color w:val="0563C1" w:themeColor="hyperlink"/>
      <w:u w:val="single"/>
    </w:rPr>
  </w:style>
  <w:style w:type="character" w:styleId="Mentionnonrsolue">
    <w:name w:val="Unresolved Mention"/>
    <w:basedOn w:val="Policepardfaut"/>
    <w:uiPriority w:val="99"/>
    <w:semiHidden/>
    <w:unhideWhenUsed/>
    <w:rsid w:val="002D15DB"/>
    <w:rPr>
      <w:color w:val="605E5C"/>
      <w:shd w:val="clear" w:color="auto" w:fill="E1DFDD"/>
    </w:rPr>
  </w:style>
  <w:style w:type="paragraph" w:styleId="Textedebulles">
    <w:name w:val="Balloon Text"/>
    <w:basedOn w:val="Normal"/>
    <w:link w:val="TextedebullesCar"/>
    <w:uiPriority w:val="99"/>
    <w:semiHidden/>
    <w:unhideWhenUsed/>
    <w:rsid w:val="009905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5E3"/>
    <w:rPr>
      <w:rFonts w:ascii="Segoe UI" w:hAnsi="Segoe UI" w:cs="Segoe UI"/>
      <w:sz w:val="18"/>
      <w:szCs w:val="18"/>
    </w:rPr>
  </w:style>
  <w:style w:type="paragraph" w:styleId="En-tte">
    <w:name w:val="header"/>
    <w:basedOn w:val="Normal"/>
    <w:link w:val="En-tteCar"/>
    <w:uiPriority w:val="99"/>
    <w:unhideWhenUsed/>
    <w:rsid w:val="009905E3"/>
    <w:pPr>
      <w:tabs>
        <w:tab w:val="center" w:pos="4536"/>
        <w:tab w:val="right" w:pos="9072"/>
      </w:tabs>
      <w:spacing w:after="0" w:line="240" w:lineRule="auto"/>
    </w:pPr>
  </w:style>
  <w:style w:type="character" w:customStyle="1" w:styleId="En-tteCar">
    <w:name w:val="En-tête Car"/>
    <w:basedOn w:val="Policepardfaut"/>
    <w:link w:val="En-tte"/>
    <w:uiPriority w:val="99"/>
    <w:rsid w:val="009905E3"/>
  </w:style>
  <w:style w:type="paragraph" w:styleId="Pieddepage">
    <w:name w:val="footer"/>
    <w:basedOn w:val="Normal"/>
    <w:link w:val="PieddepageCar"/>
    <w:uiPriority w:val="99"/>
    <w:unhideWhenUsed/>
    <w:rsid w:val="00990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nard.louis@segec.be" TargetMode="External"/><Relationship Id="rId5" Type="http://schemas.openxmlformats.org/officeDocument/2006/relationships/settings" Target="settings.xml"/><Relationship Id="rId10" Type="http://schemas.openxmlformats.org/officeDocument/2006/relationships/hyperlink" Target="mailto:emmanuelle.detry@segec.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Dessambre Charline</DisplayName>
        <AccountId>134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6F7E7-8E07-47AF-9885-E4AF7E79E58C}">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5505cd70-7e0f-4dc3-9eca-52c48a08fa6d"/>
    <ds:schemaRef ds:uri="4d305eb4-31fb-457d-a69d-45076095c278"/>
  </ds:schemaRefs>
</ds:datastoreItem>
</file>

<file path=customXml/itemProps2.xml><?xml version="1.0" encoding="utf-8"?>
<ds:datastoreItem xmlns:ds="http://schemas.openxmlformats.org/officeDocument/2006/customXml" ds:itemID="{79BC7312-DA33-451B-85F2-528F3DE2D0C2}">
  <ds:schemaRefs>
    <ds:schemaRef ds:uri="http://schemas.microsoft.com/sharepoint/v3/contenttype/forms"/>
  </ds:schemaRefs>
</ds:datastoreItem>
</file>

<file path=customXml/itemProps3.xml><?xml version="1.0" encoding="utf-8"?>
<ds:datastoreItem xmlns:ds="http://schemas.openxmlformats.org/officeDocument/2006/customXml" ds:itemID="{5544BDC9-12C7-41C4-8BED-FC5D0247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Blandine Flament</cp:lastModifiedBy>
  <cp:revision>2</cp:revision>
  <dcterms:created xsi:type="dcterms:W3CDTF">2020-04-17T08:54:00Z</dcterms:created>
  <dcterms:modified xsi:type="dcterms:W3CDTF">2020-04-17T08:54:00Z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