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0684" w14:textId="77777777" w:rsidR="001470B6" w:rsidRDefault="004F329D" w:rsidP="004F329D">
      <w:pPr>
        <w:spacing w:before="240" w:after="0" w:line="240" w:lineRule="auto"/>
        <w:ind w:right="-709"/>
        <w:jc w:val="center"/>
        <w:rPr>
          <w:rFonts w:ascii="Century Gothic" w:hAnsi="Century Gothic"/>
          <w:b/>
          <w:bCs/>
          <w:sz w:val="40"/>
          <w:szCs w:val="40"/>
        </w:rPr>
      </w:pPr>
      <w:r w:rsidRPr="004F329D">
        <w:rPr>
          <w:rFonts w:ascii="Century Gothic" w:hAnsi="Century Gothic"/>
          <w:b/>
          <w:bCs/>
          <w:noProof/>
          <w:sz w:val="40"/>
          <w:szCs w:val="40"/>
        </w:rPr>
        <w:drawing>
          <wp:anchor distT="0" distB="0" distL="114300" distR="114300" simplePos="0" relativeHeight="251658240" behindDoc="0" locked="0" layoutInCell="1" allowOverlap="1" wp14:anchorId="3F064FD0" wp14:editId="214B8EE4">
            <wp:simplePos x="0" y="0"/>
            <wp:positionH relativeFrom="column">
              <wp:posOffset>1905</wp:posOffset>
            </wp:positionH>
            <wp:positionV relativeFrom="paragraph">
              <wp:posOffset>1905</wp:posOffset>
            </wp:positionV>
            <wp:extent cx="1604010" cy="9359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010"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329D">
        <w:rPr>
          <w:rFonts w:ascii="Century Gothic" w:hAnsi="Century Gothic"/>
          <w:b/>
          <w:bCs/>
          <w:sz w:val="40"/>
          <w:szCs w:val="40"/>
        </w:rPr>
        <w:t>Quels apprentissages privilégier au cours de religion ?</w:t>
      </w:r>
    </w:p>
    <w:p w14:paraId="5AEEF721" w14:textId="77777777" w:rsidR="004F329D" w:rsidRDefault="004F329D" w:rsidP="004F329D">
      <w:pPr>
        <w:spacing w:before="240" w:after="0" w:line="240" w:lineRule="auto"/>
        <w:ind w:right="-709"/>
        <w:jc w:val="center"/>
        <w:rPr>
          <w:rFonts w:ascii="Century Gothic" w:hAnsi="Century Gothic"/>
          <w:b/>
          <w:bCs/>
          <w:sz w:val="40"/>
          <w:szCs w:val="40"/>
        </w:rPr>
      </w:pPr>
    </w:p>
    <w:p w14:paraId="1C8B8C86" w14:textId="77777777" w:rsidR="004F329D" w:rsidRDefault="004F329D" w:rsidP="004F329D">
      <w:pPr>
        <w:spacing w:after="0" w:line="240" w:lineRule="auto"/>
        <w:ind w:right="-709"/>
        <w:rPr>
          <w:rFonts w:ascii="Arial" w:hAnsi="Arial" w:cs="Arial"/>
          <w:sz w:val="24"/>
          <w:szCs w:val="24"/>
        </w:rPr>
      </w:pPr>
    </w:p>
    <w:p w14:paraId="309ABADC" w14:textId="77777777" w:rsidR="004F329D" w:rsidRPr="004F329D" w:rsidRDefault="004F329D" w:rsidP="004F329D">
      <w:pPr>
        <w:spacing w:after="240" w:line="240" w:lineRule="auto"/>
        <w:ind w:right="-709"/>
        <w:jc w:val="both"/>
        <w:rPr>
          <w:rFonts w:ascii="Arial" w:hAnsi="Arial" w:cs="Arial"/>
          <w:sz w:val="24"/>
          <w:szCs w:val="24"/>
        </w:rPr>
      </w:pPr>
      <w:r w:rsidRPr="004F329D">
        <w:rPr>
          <w:rFonts w:ascii="Arial" w:hAnsi="Arial" w:cs="Arial"/>
          <w:sz w:val="24"/>
          <w:szCs w:val="24"/>
        </w:rPr>
        <w:t>En matière d’apprentissages, la crise sanitaire que nous sommes en train de vivre met en évidence de manière accrue le caractère particulier du cours de religion.</w:t>
      </w:r>
    </w:p>
    <w:p w14:paraId="3AFF5D05" w14:textId="77777777" w:rsidR="004F329D" w:rsidRPr="004F329D" w:rsidRDefault="004F329D" w:rsidP="004F329D">
      <w:pPr>
        <w:autoSpaceDE w:val="0"/>
        <w:autoSpaceDN w:val="0"/>
        <w:adjustRightInd w:val="0"/>
        <w:spacing w:after="120" w:line="240" w:lineRule="auto"/>
        <w:jc w:val="both"/>
        <w:rPr>
          <w:rFonts w:ascii="Arial" w:hAnsi="Arial" w:cs="Arial"/>
          <w:b/>
          <w:bCs/>
          <w:sz w:val="24"/>
          <w:szCs w:val="24"/>
        </w:rPr>
      </w:pPr>
      <w:r w:rsidRPr="004F329D">
        <w:rPr>
          <w:rFonts w:ascii="Arial" w:hAnsi="Arial" w:cs="Arial"/>
          <w:b/>
          <w:bCs/>
          <w:sz w:val="24"/>
          <w:szCs w:val="24"/>
        </w:rPr>
        <w:t>Une discipline scolaire à part entière</w:t>
      </w:r>
    </w:p>
    <w:p w14:paraId="71A04D26" w14:textId="77777777" w:rsidR="004F329D" w:rsidRDefault="004F329D" w:rsidP="0030203D">
      <w:pPr>
        <w:autoSpaceDE w:val="0"/>
        <w:autoSpaceDN w:val="0"/>
        <w:adjustRightInd w:val="0"/>
        <w:spacing w:after="120" w:line="240" w:lineRule="auto"/>
        <w:jc w:val="both"/>
        <w:rPr>
          <w:rFonts w:ascii="Arial" w:hAnsi="Arial" w:cs="Arial"/>
          <w:i/>
          <w:iCs/>
          <w:sz w:val="24"/>
          <w:szCs w:val="24"/>
        </w:rPr>
      </w:pPr>
      <w:r w:rsidRPr="004F329D">
        <w:rPr>
          <w:rFonts w:ascii="Arial" w:hAnsi="Arial" w:cs="Arial"/>
          <w:i/>
          <w:iCs/>
          <w:sz w:val="24"/>
          <w:szCs w:val="24"/>
        </w:rPr>
        <w:t>Discipline scolaire à part entière, le cours de religion catholique a un contenu spécifique : les données de la religion catholique et la morale inspirée par cette religion. (…) Puisqu’il s’agit d’un cours, le cours de religion catholique comporte les mêmes exigences que les autres cours.</w:t>
      </w:r>
      <w:r w:rsidRPr="004F329D">
        <w:rPr>
          <w:rStyle w:val="Appelnotedebasdep"/>
          <w:rFonts w:ascii="Arial" w:hAnsi="Arial" w:cs="Arial"/>
          <w:sz w:val="24"/>
          <w:szCs w:val="24"/>
        </w:rPr>
        <w:footnoteReference w:id="1"/>
      </w:r>
    </w:p>
    <w:p w14:paraId="2DBC9DD2" w14:textId="77777777" w:rsidR="0030203D" w:rsidRDefault="0030203D" w:rsidP="0030203D">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A l’instar des autres disciplines, le cours de religion aura par conséquent toute sa place au cœur des apprentissages des élèves.</w:t>
      </w:r>
    </w:p>
    <w:p w14:paraId="37FF543C" w14:textId="77777777" w:rsidR="0030203D" w:rsidRPr="004F329D" w:rsidRDefault="0030203D" w:rsidP="0030203D">
      <w:pPr>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Un cours « à part »</w:t>
      </w:r>
    </w:p>
    <w:p w14:paraId="594F5E8F" w14:textId="29D3D7F6" w:rsidR="0030203D" w:rsidRDefault="0030203D" w:rsidP="0030203D">
      <w:pPr>
        <w:autoSpaceDE w:val="0"/>
        <w:autoSpaceDN w:val="0"/>
        <w:adjustRightInd w:val="0"/>
        <w:spacing w:after="120" w:line="240" w:lineRule="auto"/>
        <w:jc w:val="both"/>
        <w:rPr>
          <w:rFonts w:ascii="Arial" w:hAnsi="Arial" w:cs="Arial"/>
          <w:sz w:val="24"/>
          <w:szCs w:val="24"/>
        </w:rPr>
      </w:pPr>
      <w:r w:rsidRPr="7EF907C1">
        <w:rPr>
          <w:rFonts w:ascii="Arial" w:hAnsi="Arial" w:cs="Arial"/>
          <w:sz w:val="24"/>
          <w:szCs w:val="24"/>
        </w:rPr>
        <w:t>De par</w:t>
      </w:r>
      <w:r w:rsidR="000C5A53" w:rsidRPr="7EF907C1">
        <w:rPr>
          <w:rFonts w:ascii="Arial" w:hAnsi="Arial" w:cs="Arial"/>
          <w:sz w:val="24"/>
          <w:szCs w:val="24"/>
        </w:rPr>
        <w:t xml:space="preserve"> </w:t>
      </w:r>
      <w:r w:rsidRPr="7EF907C1">
        <w:rPr>
          <w:rFonts w:ascii="Arial" w:hAnsi="Arial" w:cs="Arial"/>
          <w:sz w:val="24"/>
          <w:szCs w:val="24"/>
        </w:rPr>
        <w:t>son caractère confessionnel et son incontournable enracinement dans l’existence des élèves, le cours de religion se donne comme finalités de :</w:t>
      </w:r>
    </w:p>
    <w:p w14:paraId="54EB68D8" w14:textId="77777777" w:rsidR="0030203D" w:rsidRPr="0030203D" w:rsidRDefault="0030203D" w:rsidP="0030203D">
      <w:pPr>
        <w:pStyle w:val="Paragraphedeliste"/>
        <w:numPr>
          <w:ilvl w:val="0"/>
          <w:numId w:val="1"/>
        </w:numPr>
        <w:autoSpaceDE w:val="0"/>
        <w:autoSpaceDN w:val="0"/>
        <w:adjustRightInd w:val="0"/>
        <w:spacing w:after="60" w:line="240" w:lineRule="auto"/>
        <w:ind w:left="714" w:hanging="357"/>
        <w:contextualSpacing w:val="0"/>
        <w:jc w:val="both"/>
        <w:rPr>
          <w:rFonts w:ascii="Arial" w:hAnsi="Arial" w:cs="Arial"/>
          <w:i/>
          <w:iCs/>
          <w:sz w:val="24"/>
          <w:szCs w:val="24"/>
        </w:rPr>
      </w:pPr>
      <w:r w:rsidRPr="0030203D">
        <w:rPr>
          <w:rFonts w:ascii="Arial" w:hAnsi="Arial" w:cs="Arial"/>
          <w:i/>
          <w:iCs/>
          <w:sz w:val="24"/>
          <w:szCs w:val="24"/>
        </w:rPr>
        <w:t>Favoriser la croissance en humanité des élèves en les mettant, à propos de la question du sens, en situation de confrontation avec l’événement Jésus-Christ.</w:t>
      </w:r>
    </w:p>
    <w:p w14:paraId="6621F897" w14:textId="77777777" w:rsidR="0030203D" w:rsidRPr="0030203D" w:rsidRDefault="0030203D" w:rsidP="0030203D">
      <w:pPr>
        <w:pStyle w:val="Paragraphedeliste"/>
        <w:numPr>
          <w:ilvl w:val="0"/>
          <w:numId w:val="1"/>
        </w:numPr>
        <w:autoSpaceDE w:val="0"/>
        <w:autoSpaceDN w:val="0"/>
        <w:adjustRightInd w:val="0"/>
        <w:spacing w:after="60" w:line="240" w:lineRule="auto"/>
        <w:ind w:left="714" w:hanging="357"/>
        <w:contextualSpacing w:val="0"/>
        <w:jc w:val="both"/>
        <w:rPr>
          <w:rFonts w:ascii="Arial" w:hAnsi="Arial" w:cs="Arial"/>
          <w:i/>
          <w:iCs/>
          <w:sz w:val="24"/>
          <w:szCs w:val="24"/>
        </w:rPr>
      </w:pPr>
      <w:r w:rsidRPr="0030203D">
        <w:rPr>
          <w:rFonts w:ascii="Arial" w:hAnsi="Arial" w:cs="Arial"/>
          <w:i/>
          <w:iCs/>
          <w:sz w:val="24"/>
          <w:szCs w:val="24"/>
        </w:rPr>
        <w:t>Rechercher et construire du sens pour comprendre à la lumière de la foi chrétienne les grandes problématiques humaines.</w:t>
      </w:r>
    </w:p>
    <w:p w14:paraId="404A95B1" w14:textId="77777777" w:rsidR="0030203D" w:rsidRPr="0030203D" w:rsidRDefault="0030203D" w:rsidP="000C5A53">
      <w:pPr>
        <w:pStyle w:val="Paragraphedeliste"/>
        <w:numPr>
          <w:ilvl w:val="0"/>
          <w:numId w:val="1"/>
        </w:numPr>
        <w:autoSpaceDE w:val="0"/>
        <w:autoSpaceDN w:val="0"/>
        <w:adjustRightInd w:val="0"/>
        <w:spacing w:after="120" w:line="240" w:lineRule="auto"/>
        <w:ind w:left="714" w:hanging="357"/>
        <w:contextualSpacing w:val="0"/>
        <w:jc w:val="both"/>
        <w:rPr>
          <w:rFonts w:ascii="Arial" w:hAnsi="Arial" w:cs="Arial"/>
          <w:i/>
          <w:iCs/>
          <w:sz w:val="24"/>
          <w:szCs w:val="24"/>
        </w:rPr>
      </w:pPr>
      <w:r w:rsidRPr="0030203D">
        <w:rPr>
          <w:rFonts w:ascii="Arial" w:hAnsi="Arial" w:cs="Arial"/>
          <w:i/>
          <w:iCs/>
          <w:sz w:val="24"/>
          <w:szCs w:val="24"/>
        </w:rPr>
        <w:t>Découvrir la foi chrétienne, sa cohérence et sa pertinence.</w:t>
      </w:r>
      <w:r w:rsidRPr="0030203D">
        <w:rPr>
          <w:rStyle w:val="Appelnotedebasdep"/>
          <w:rFonts w:ascii="Arial" w:hAnsi="Arial" w:cs="Arial"/>
          <w:sz w:val="24"/>
          <w:szCs w:val="24"/>
        </w:rPr>
        <w:footnoteReference w:id="2"/>
      </w:r>
    </w:p>
    <w:p w14:paraId="085D832B" w14:textId="77777777" w:rsidR="0030203D" w:rsidRDefault="000C5A53" w:rsidP="004F32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 un cours de religion digne de ce nom ne peut faire l’impasse sur la mobilisation de savoirs et de savoir-faire appropriés, on veillera par conséquent, en cette période si particulière, à éviter l’écueil de ce que l’on appelle généralement les « savoirs morts ».</w:t>
      </w:r>
    </w:p>
    <w:p w14:paraId="067DB043" w14:textId="77777777" w:rsidR="000C5A53" w:rsidRDefault="000C5A53" w:rsidP="00FC6269">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 xml:space="preserve">Dans ses différents aspects (humain, social, économique, médical, éthique, etc.) le contexte actuel constitue un formidable « matériau » </w:t>
      </w:r>
      <w:r w:rsidR="00FC6269">
        <w:rPr>
          <w:rFonts w:ascii="Arial" w:hAnsi="Arial" w:cs="Arial"/>
          <w:sz w:val="24"/>
          <w:szCs w:val="24"/>
        </w:rPr>
        <w:t>pour permettre aux jeunes de prendre du recul, de réfléchir à ce qu’ils vivent tous - sans exception - pour le moment, et d’y trouver du sens à la lumière de l’Evangile.</w:t>
      </w:r>
    </w:p>
    <w:p w14:paraId="1EDFB131" w14:textId="77777777" w:rsidR="00FC6269" w:rsidRPr="004F329D" w:rsidRDefault="00FC6269" w:rsidP="00FC6269">
      <w:pPr>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Du point de vue méthodologique</w:t>
      </w:r>
    </w:p>
    <w:p w14:paraId="069D56C8" w14:textId="77777777" w:rsidR="00FC6269" w:rsidRDefault="00A01B92" w:rsidP="00FC6269">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En proposant aux élèves des ressources adaptées et en se référant aux niveaux de maîtrise des compétences proposés par le programme de religion, o</w:t>
      </w:r>
      <w:r w:rsidR="00FC6269">
        <w:rPr>
          <w:rFonts w:ascii="Arial" w:hAnsi="Arial" w:cs="Arial"/>
          <w:sz w:val="24"/>
          <w:szCs w:val="24"/>
        </w:rPr>
        <w:t xml:space="preserve">n veillera à privilégier les compétences </w:t>
      </w:r>
      <w:r>
        <w:rPr>
          <w:rFonts w:ascii="Arial" w:hAnsi="Arial" w:cs="Arial"/>
          <w:sz w:val="24"/>
          <w:szCs w:val="24"/>
        </w:rPr>
        <w:t>disciplinaires</w:t>
      </w:r>
      <w:r w:rsidR="00FC6269">
        <w:rPr>
          <w:rFonts w:ascii="Arial" w:hAnsi="Arial" w:cs="Arial"/>
          <w:sz w:val="24"/>
          <w:szCs w:val="24"/>
        </w:rPr>
        <w:t xml:space="preserve"> qui se prêtent plus spécifiquement à un travail de réflexion sur les différents aspects de la crise sanitaire actuelle, par exemple :</w:t>
      </w:r>
    </w:p>
    <w:p w14:paraId="5D16F00D" w14:textId="77777777" w:rsidR="00FC6269" w:rsidRDefault="00FC6269" w:rsidP="004F32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C.D.2 – Décoder le mode de relation au religieux.</w:t>
      </w:r>
    </w:p>
    <w:p w14:paraId="540401CE" w14:textId="77777777" w:rsidR="00FC6269" w:rsidRDefault="00FC6269" w:rsidP="004F32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C.D.4 – Interroger et se laisser interroger par les sciences et les sciences humaines</w:t>
      </w:r>
    </w:p>
    <w:p w14:paraId="38C628EF" w14:textId="77777777" w:rsidR="00FC6269" w:rsidRDefault="00FC6269" w:rsidP="00FC62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C.D.5 – Pratiquer le questionnement philosophique</w:t>
      </w:r>
    </w:p>
    <w:p w14:paraId="251D1E49" w14:textId="77777777" w:rsidR="00FC6269" w:rsidRDefault="00FC6269" w:rsidP="00FC62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C.D.6 – Discerner les registres de réalité du langage</w:t>
      </w:r>
    </w:p>
    <w:p w14:paraId="691F989B" w14:textId="77777777" w:rsidR="00FC6269" w:rsidRDefault="00FC6269" w:rsidP="00FC62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C.D.7 – Expliciter le sens des symboles et des rites</w:t>
      </w:r>
    </w:p>
    <w:p w14:paraId="7C2E5416" w14:textId="77777777" w:rsidR="00FC6269" w:rsidRDefault="00FC6269" w:rsidP="00FC62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C.D.8 – Construire une argumentation éthique</w:t>
      </w:r>
    </w:p>
    <w:p w14:paraId="185CD1C5" w14:textId="77777777" w:rsidR="00FC6269" w:rsidRDefault="00FC6269" w:rsidP="00FC62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C.D.11 – Discerner et analyser la dimension sociale de la vie humaine</w:t>
      </w:r>
    </w:p>
    <w:p w14:paraId="3BE83D1F" w14:textId="77777777" w:rsidR="00A01B92" w:rsidRDefault="00A01B92" w:rsidP="00FC6269">
      <w:pPr>
        <w:autoSpaceDE w:val="0"/>
        <w:autoSpaceDN w:val="0"/>
        <w:adjustRightInd w:val="0"/>
        <w:spacing w:after="0" w:line="240" w:lineRule="auto"/>
        <w:jc w:val="both"/>
        <w:rPr>
          <w:rFonts w:ascii="Arial" w:hAnsi="Arial" w:cs="Arial"/>
          <w:sz w:val="24"/>
          <w:szCs w:val="24"/>
        </w:rPr>
      </w:pPr>
    </w:p>
    <w:p w14:paraId="577D9DD6" w14:textId="77777777" w:rsidR="00A01B92" w:rsidRPr="00531A88" w:rsidRDefault="00A01B92" w:rsidP="00A01B92">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Le cours de religion a un rôle important à jouer dans l’éducation des jeunes à la philosophie et à la citoyenneté. Ici aussi, en fonction des pistes méthodologiques que l’on choisira de suivre, on veillera à raccrocher le travail des élèves à ce qui est fixé p</w:t>
      </w:r>
      <w:r w:rsidRPr="00531A88">
        <w:rPr>
          <w:rFonts w:ascii="Arial" w:hAnsi="Arial" w:cs="Arial"/>
          <w:sz w:val="24"/>
          <w:szCs w:val="24"/>
        </w:rPr>
        <w:t>ar le programme d’EPC :</w: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8358"/>
      </w:tblGrid>
      <w:tr w:rsidR="00A01B92" w:rsidRPr="00531A88" w14:paraId="4115DEE5" w14:textId="77777777" w:rsidTr="00531A88">
        <w:tc>
          <w:tcPr>
            <w:tcW w:w="704" w:type="dxa"/>
          </w:tcPr>
          <w:p w14:paraId="091CF0D7" w14:textId="77777777" w:rsidR="00A01B92" w:rsidRPr="00531A88" w:rsidRDefault="00A01B92" w:rsidP="00FC6269">
            <w:pPr>
              <w:autoSpaceDE w:val="0"/>
              <w:autoSpaceDN w:val="0"/>
              <w:adjustRightInd w:val="0"/>
              <w:jc w:val="both"/>
              <w:rPr>
                <w:rFonts w:ascii="Arial" w:hAnsi="Arial" w:cs="Arial"/>
                <w:sz w:val="24"/>
                <w:szCs w:val="24"/>
              </w:rPr>
            </w:pPr>
            <w:r w:rsidRPr="00531A88">
              <w:rPr>
                <w:rFonts w:ascii="Arial" w:hAnsi="Arial" w:cs="Arial"/>
                <w:sz w:val="24"/>
                <w:szCs w:val="24"/>
              </w:rPr>
              <w:t>D1</w:t>
            </w:r>
          </w:p>
        </w:tc>
        <w:tc>
          <w:tcPr>
            <w:tcW w:w="8358" w:type="dxa"/>
          </w:tcPr>
          <w:p w14:paraId="36501045" w14:textId="77777777" w:rsidR="00A01B92" w:rsidRPr="00531A88" w:rsidRDefault="00A01B92" w:rsidP="00A01B92">
            <w:pPr>
              <w:tabs>
                <w:tab w:val="left" w:pos="271"/>
              </w:tabs>
              <w:spacing w:after="60"/>
              <w:ind w:left="38"/>
              <w:rPr>
                <w:rFonts w:ascii="Arial" w:hAnsi="Arial" w:cs="Arial"/>
                <w:sz w:val="24"/>
                <w:szCs w:val="24"/>
                <w:lang w:eastAsia="fr-BE"/>
              </w:rPr>
            </w:pPr>
            <w:r w:rsidRPr="00531A88">
              <w:rPr>
                <w:rFonts w:ascii="Arial" w:hAnsi="Arial" w:cs="Arial"/>
                <w:sz w:val="24"/>
                <w:szCs w:val="24"/>
                <w:lang w:eastAsia="fr-BE"/>
              </w:rPr>
              <w:t>1.1 A partir de l’étonnement, formuler des questions à portée philosophique</w:t>
            </w:r>
          </w:p>
          <w:p w14:paraId="388CE854" w14:textId="77777777" w:rsidR="00A01B92" w:rsidRPr="00531A88" w:rsidRDefault="00A01B92" w:rsidP="00A01B92">
            <w:pPr>
              <w:tabs>
                <w:tab w:val="left" w:pos="271"/>
              </w:tabs>
              <w:spacing w:after="60"/>
              <w:ind w:left="38"/>
              <w:rPr>
                <w:rFonts w:ascii="Arial" w:hAnsi="Arial" w:cs="Arial"/>
                <w:sz w:val="24"/>
                <w:szCs w:val="24"/>
                <w:lang w:eastAsia="fr-BE"/>
              </w:rPr>
            </w:pPr>
            <w:r w:rsidRPr="00531A88">
              <w:rPr>
                <w:rFonts w:ascii="Arial" w:hAnsi="Arial" w:cs="Arial"/>
                <w:sz w:val="24"/>
                <w:szCs w:val="24"/>
                <w:lang w:eastAsia="fr-BE"/>
              </w:rPr>
              <w:t>5.2 Elargir sa perspective</w:t>
            </w:r>
          </w:p>
          <w:p w14:paraId="10B9C060" w14:textId="77777777" w:rsidR="00A01B92" w:rsidRPr="00531A88" w:rsidRDefault="00A01B92" w:rsidP="00A01B92">
            <w:pPr>
              <w:autoSpaceDE w:val="0"/>
              <w:autoSpaceDN w:val="0"/>
              <w:adjustRightInd w:val="0"/>
              <w:ind w:left="38"/>
              <w:jc w:val="both"/>
              <w:rPr>
                <w:rFonts w:ascii="Arial" w:hAnsi="Arial" w:cs="Arial"/>
                <w:sz w:val="24"/>
                <w:szCs w:val="24"/>
              </w:rPr>
            </w:pPr>
            <w:r w:rsidRPr="00531A88">
              <w:rPr>
                <w:rFonts w:ascii="Arial" w:hAnsi="Arial" w:cs="Arial"/>
                <w:sz w:val="24"/>
                <w:szCs w:val="24"/>
                <w:lang w:eastAsia="fr-BE"/>
              </w:rPr>
              <w:t>6.1. Reconnaître la pluralité des valeurs</w:t>
            </w:r>
          </w:p>
        </w:tc>
      </w:tr>
      <w:tr w:rsidR="00A01B92" w:rsidRPr="00531A88" w14:paraId="68494C1C" w14:textId="77777777" w:rsidTr="00531A88">
        <w:tc>
          <w:tcPr>
            <w:tcW w:w="704" w:type="dxa"/>
          </w:tcPr>
          <w:p w14:paraId="7F14BD9F" w14:textId="77777777" w:rsidR="00A01B92" w:rsidRPr="00531A88" w:rsidRDefault="00A01B92" w:rsidP="00FC6269">
            <w:pPr>
              <w:autoSpaceDE w:val="0"/>
              <w:autoSpaceDN w:val="0"/>
              <w:adjustRightInd w:val="0"/>
              <w:jc w:val="both"/>
              <w:rPr>
                <w:rFonts w:ascii="Arial" w:hAnsi="Arial" w:cs="Arial"/>
                <w:sz w:val="24"/>
                <w:szCs w:val="24"/>
              </w:rPr>
            </w:pPr>
            <w:r w:rsidRPr="00531A88">
              <w:rPr>
                <w:rFonts w:ascii="Arial" w:hAnsi="Arial" w:cs="Arial"/>
                <w:sz w:val="24"/>
                <w:szCs w:val="24"/>
              </w:rPr>
              <w:t>D2</w:t>
            </w:r>
          </w:p>
        </w:tc>
        <w:tc>
          <w:tcPr>
            <w:tcW w:w="8358" w:type="dxa"/>
          </w:tcPr>
          <w:p w14:paraId="59BB7312" w14:textId="77777777" w:rsidR="00A01B92" w:rsidRPr="00531A88" w:rsidRDefault="00A01B92" w:rsidP="00A01B92">
            <w:pPr>
              <w:spacing w:after="60"/>
              <w:ind w:left="34"/>
              <w:rPr>
                <w:rFonts w:ascii="Arial" w:hAnsi="Arial" w:cs="Arial"/>
                <w:sz w:val="24"/>
                <w:szCs w:val="24"/>
              </w:rPr>
            </w:pPr>
            <w:r w:rsidRPr="00531A88">
              <w:rPr>
                <w:rFonts w:ascii="Arial" w:hAnsi="Arial" w:cs="Arial"/>
                <w:sz w:val="24"/>
                <w:szCs w:val="24"/>
              </w:rPr>
              <w:t>UAA 2.1.3. Stéréotypes, préjugés et discriminations</w:t>
            </w:r>
          </w:p>
          <w:p w14:paraId="073A728D" w14:textId="77777777" w:rsidR="00A01B92" w:rsidRPr="00531A88" w:rsidRDefault="00A01B92" w:rsidP="00A01B92">
            <w:pPr>
              <w:spacing w:after="60"/>
              <w:ind w:left="34"/>
              <w:rPr>
                <w:rFonts w:ascii="Arial" w:hAnsi="Arial" w:cs="Arial"/>
                <w:sz w:val="24"/>
                <w:szCs w:val="24"/>
              </w:rPr>
            </w:pPr>
            <w:r w:rsidRPr="00531A88">
              <w:rPr>
                <w:rFonts w:ascii="Arial" w:hAnsi="Arial" w:cs="Arial"/>
                <w:sz w:val="24"/>
                <w:szCs w:val="24"/>
              </w:rPr>
              <w:t>UAA 2.1.5. Légitimité et légalité de la norme</w:t>
            </w:r>
          </w:p>
        </w:tc>
      </w:tr>
      <w:tr w:rsidR="00A01B92" w:rsidRPr="00531A88" w14:paraId="63613D1F" w14:textId="77777777" w:rsidTr="00531A88">
        <w:tc>
          <w:tcPr>
            <w:tcW w:w="704" w:type="dxa"/>
          </w:tcPr>
          <w:p w14:paraId="5EF9B38C" w14:textId="77777777" w:rsidR="00A01B92" w:rsidRPr="00531A88" w:rsidRDefault="00A01B92" w:rsidP="00FC6269">
            <w:pPr>
              <w:autoSpaceDE w:val="0"/>
              <w:autoSpaceDN w:val="0"/>
              <w:adjustRightInd w:val="0"/>
              <w:jc w:val="both"/>
              <w:rPr>
                <w:rFonts w:ascii="Arial" w:hAnsi="Arial" w:cs="Arial"/>
                <w:sz w:val="24"/>
                <w:szCs w:val="24"/>
              </w:rPr>
            </w:pPr>
            <w:r w:rsidRPr="00531A88">
              <w:rPr>
                <w:rFonts w:ascii="Arial" w:hAnsi="Arial" w:cs="Arial"/>
                <w:sz w:val="24"/>
                <w:szCs w:val="24"/>
              </w:rPr>
              <w:t>D3</w:t>
            </w:r>
          </w:p>
        </w:tc>
        <w:tc>
          <w:tcPr>
            <w:tcW w:w="8358" w:type="dxa"/>
          </w:tcPr>
          <w:p w14:paraId="2C69F8D9" w14:textId="77777777" w:rsidR="00A01B92" w:rsidRPr="00531A88" w:rsidRDefault="00A01B92" w:rsidP="00A01B92">
            <w:pPr>
              <w:spacing w:after="60"/>
              <w:ind w:left="34"/>
              <w:rPr>
                <w:rFonts w:ascii="Arial" w:hAnsi="Arial" w:cs="Arial"/>
                <w:sz w:val="24"/>
                <w:szCs w:val="24"/>
              </w:rPr>
            </w:pPr>
            <w:r w:rsidRPr="00531A88">
              <w:rPr>
                <w:rFonts w:ascii="Arial" w:hAnsi="Arial" w:cs="Arial"/>
                <w:sz w:val="24"/>
                <w:szCs w:val="24"/>
              </w:rPr>
              <w:t>UAA 3.1.1. Vérité et pouvoir</w:t>
            </w:r>
          </w:p>
          <w:p w14:paraId="787C6163" w14:textId="77777777" w:rsidR="00A01B92" w:rsidRPr="00531A88" w:rsidRDefault="00A01B92" w:rsidP="00A01B92">
            <w:pPr>
              <w:spacing w:after="60"/>
              <w:ind w:left="34"/>
              <w:rPr>
                <w:rFonts w:ascii="Arial" w:hAnsi="Arial" w:cs="Arial"/>
                <w:sz w:val="24"/>
                <w:szCs w:val="24"/>
              </w:rPr>
            </w:pPr>
            <w:r w:rsidRPr="00531A88">
              <w:rPr>
                <w:rFonts w:ascii="Arial" w:hAnsi="Arial" w:cs="Arial"/>
                <w:sz w:val="24"/>
                <w:szCs w:val="24"/>
              </w:rPr>
              <w:t>UAA 3.1.3. Bioéthique</w:t>
            </w:r>
          </w:p>
          <w:p w14:paraId="56B11AE2" w14:textId="77777777" w:rsidR="00A01B92" w:rsidRPr="00531A88" w:rsidRDefault="00A01B92" w:rsidP="00A01B92">
            <w:pPr>
              <w:spacing w:after="60"/>
              <w:ind w:left="34"/>
              <w:rPr>
                <w:rFonts w:ascii="Arial" w:hAnsi="Arial" w:cs="Arial"/>
                <w:sz w:val="24"/>
                <w:szCs w:val="24"/>
              </w:rPr>
            </w:pPr>
            <w:r w:rsidRPr="00531A88">
              <w:rPr>
                <w:rFonts w:ascii="Arial" w:hAnsi="Arial" w:cs="Arial"/>
                <w:sz w:val="24"/>
                <w:szCs w:val="24"/>
              </w:rPr>
              <w:t>UAA 3.1.4. Liberté et responsabilité</w:t>
            </w:r>
          </w:p>
        </w:tc>
      </w:tr>
    </w:tbl>
    <w:p w14:paraId="2472B31E" w14:textId="77777777" w:rsidR="00A01B92" w:rsidRDefault="00A01B92" w:rsidP="00FC6269">
      <w:pPr>
        <w:autoSpaceDE w:val="0"/>
        <w:autoSpaceDN w:val="0"/>
        <w:adjustRightInd w:val="0"/>
        <w:spacing w:after="0" w:line="240" w:lineRule="auto"/>
        <w:jc w:val="both"/>
        <w:rPr>
          <w:rFonts w:ascii="Arial" w:hAnsi="Arial" w:cs="Arial"/>
          <w:sz w:val="24"/>
          <w:szCs w:val="24"/>
        </w:rPr>
      </w:pPr>
    </w:p>
    <w:p w14:paraId="5F4E4C1B" w14:textId="77777777" w:rsidR="00531A88" w:rsidRDefault="00531A88" w:rsidP="00FC6269">
      <w:pPr>
        <w:autoSpaceDE w:val="0"/>
        <w:autoSpaceDN w:val="0"/>
        <w:adjustRightInd w:val="0"/>
        <w:spacing w:after="0" w:line="240" w:lineRule="auto"/>
        <w:jc w:val="both"/>
        <w:rPr>
          <w:rFonts w:ascii="Arial" w:hAnsi="Arial" w:cs="Arial"/>
          <w:sz w:val="24"/>
          <w:szCs w:val="24"/>
        </w:rPr>
      </w:pPr>
    </w:p>
    <w:p w14:paraId="59CA8937" w14:textId="77777777" w:rsidR="00FC6269" w:rsidRDefault="00531A88" w:rsidP="00531A88">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N’hésitez pas à prendre contact avec l’équipe des conseillers :</w:t>
      </w:r>
    </w:p>
    <w:p w14:paraId="49FEE1EA" w14:textId="77777777" w:rsidR="00531A88" w:rsidRDefault="00531A88" w:rsidP="006C5D21">
      <w:pPr>
        <w:autoSpaceDE w:val="0"/>
        <w:autoSpaceDN w:val="0"/>
        <w:adjustRightInd w:val="0"/>
        <w:spacing w:after="60" w:line="240" w:lineRule="auto"/>
        <w:ind w:left="284"/>
        <w:jc w:val="both"/>
        <w:rPr>
          <w:rFonts w:ascii="Arial" w:hAnsi="Arial" w:cs="Arial"/>
          <w:sz w:val="24"/>
          <w:szCs w:val="24"/>
        </w:rPr>
      </w:pPr>
      <w:r>
        <w:rPr>
          <w:rFonts w:ascii="Arial" w:hAnsi="Arial" w:cs="Arial"/>
          <w:sz w:val="24"/>
          <w:szCs w:val="24"/>
        </w:rPr>
        <w:t xml:space="preserve">Benjamin </w:t>
      </w:r>
      <w:proofErr w:type="spellStart"/>
      <w:r>
        <w:rPr>
          <w:rFonts w:ascii="Arial" w:hAnsi="Arial" w:cs="Arial"/>
          <w:sz w:val="24"/>
          <w:szCs w:val="24"/>
        </w:rPr>
        <w:t>Stiévenart</w:t>
      </w:r>
      <w:proofErr w:type="spellEnd"/>
      <w:r>
        <w:rPr>
          <w:rFonts w:ascii="Arial" w:hAnsi="Arial" w:cs="Arial"/>
          <w:sz w:val="24"/>
          <w:szCs w:val="24"/>
        </w:rPr>
        <w:t xml:space="preserve"> (responsable de secteur) : </w:t>
      </w:r>
      <w:hyperlink r:id="rId12" w:history="1">
        <w:r w:rsidRPr="003B27CA">
          <w:rPr>
            <w:rStyle w:val="Lienhypertexte"/>
            <w:rFonts w:ascii="Arial" w:hAnsi="Arial" w:cs="Arial"/>
            <w:sz w:val="24"/>
            <w:szCs w:val="24"/>
          </w:rPr>
          <w:t>benjamin.stievenart</w:t>
        </w:r>
        <w:r w:rsidRPr="003B27CA">
          <w:rPr>
            <w:rStyle w:val="Lienhypertexte"/>
            <w:rFonts w:ascii="Tahoma" w:hAnsi="Tahoma" w:cs="Tahoma"/>
            <w:sz w:val="24"/>
            <w:szCs w:val="24"/>
          </w:rPr>
          <w:t>@</w:t>
        </w:r>
        <w:r w:rsidRPr="003B27CA">
          <w:rPr>
            <w:rStyle w:val="Lienhypertexte"/>
            <w:rFonts w:ascii="Arial" w:hAnsi="Arial" w:cs="Arial"/>
            <w:sz w:val="24"/>
            <w:szCs w:val="24"/>
          </w:rPr>
          <w:t>segec.be</w:t>
        </w:r>
      </w:hyperlink>
    </w:p>
    <w:p w14:paraId="522DAD2A" w14:textId="77777777" w:rsidR="00531A88" w:rsidRPr="000E0833" w:rsidRDefault="00531A88" w:rsidP="006C5D21">
      <w:pPr>
        <w:autoSpaceDE w:val="0"/>
        <w:autoSpaceDN w:val="0"/>
        <w:adjustRightInd w:val="0"/>
        <w:spacing w:after="60" w:line="240" w:lineRule="auto"/>
        <w:ind w:left="284"/>
        <w:jc w:val="both"/>
        <w:rPr>
          <w:rFonts w:ascii="Arial" w:hAnsi="Arial" w:cs="Arial"/>
          <w:sz w:val="24"/>
          <w:szCs w:val="24"/>
          <w:lang w:val="nl-NL"/>
        </w:rPr>
      </w:pPr>
      <w:r w:rsidRPr="000E0833">
        <w:rPr>
          <w:rFonts w:ascii="Arial" w:hAnsi="Arial" w:cs="Arial"/>
          <w:sz w:val="24"/>
          <w:szCs w:val="24"/>
          <w:lang w:val="nl-NL"/>
        </w:rPr>
        <w:t xml:space="preserve">Axel </w:t>
      </w:r>
      <w:proofErr w:type="spellStart"/>
      <w:r w:rsidRPr="000E0833">
        <w:rPr>
          <w:rFonts w:ascii="Arial" w:hAnsi="Arial" w:cs="Arial"/>
          <w:sz w:val="24"/>
          <w:szCs w:val="24"/>
          <w:lang w:val="nl-NL"/>
        </w:rPr>
        <w:t>Hoorelbeke</w:t>
      </w:r>
      <w:proofErr w:type="spellEnd"/>
      <w:r w:rsidRPr="000E0833">
        <w:rPr>
          <w:rFonts w:ascii="Arial" w:hAnsi="Arial" w:cs="Arial"/>
          <w:sz w:val="24"/>
          <w:szCs w:val="24"/>
          <w:lang w:val="nl-NL"/>
        </w:rPr>
        <w:t xml:space="preserve"> (</w:t>
      </w:r>
      <w:proofErr w:type="spellStart"/>
      <w:r w:rsidRPr="000E0833">
        <w:rPr>
          <w:rFonts w:ascii="Arial" w:hAnsi="Arial" w:cs="Arial"/>
          <w:sz w:val="24"/>
          <w:szCs w:val="24"/>
          <w:lang w:val="nl-NL"/>
        </w:rPr>
        <w:t>diocèse</w:t>
      </w:r>
      <w:proofErr w:type="spellEnd"/>
      <w:r w:rsidRPr="000E0833">
        <w:rPr>
          <w:rFonts w:ascii="Arial" w:hAnsi="Arial" w:cs="Arial"/>
          <w:sz w:val="24"/>
          <w:szCs w:val="24"/>
          <w:lang w:val="nl-NL"/>
        </w:rPr>
        <w:t xml:space="preserve"> de Tournai) : </w:t>
      </w:r>
      <w:hyperlink r:id="rId13" w:history="1">
        <w:r w:rsidRPr="000E0833">
          <w:rPr>
            <w:rStyle w:val="Lienhypertexte"/>
            <w:rFonts w:ascii="Arial" w:hAnsi="Arial" w:cs="Arial"/>
            <w:sz w:val="24"/>
            <w:szCs w:val="24"/>
            <w:lang w:val="nl-NL"/>
          </w:rPr>
          <w:t>axel.hoorelbeke</w:t>
        </w:r>
        <w:r w:rsidRPr="000E0833">
          <w:rPr>
            <w:rStyle w:val="Lienhypertexte"/>
            <w:rFonts w:ascii="Tahoma" w:hAnsi="Tahoma" w:cs="Tahoma"/>
            <w:sz w:val="24"/>
            <w:szCs w:val="24"/>
            <w:lang w:val="nl-NL"/>
          </w:rPr>
          <w:t>@</w:t>
        </w:r>
        <w:r w:rsidRPr="000E0833">
          <w:rPr>
            <w:rStyle w:val="Lienhypertexte"/>
            <w:rFonts w:ascii="Arial" w:hAnsi="Arial" w:cs="Arial"/>
            <w:sz w:val="24"/>
            <w:szCs w:val="24"/>
            <w:lang w:val="nl-NL"/>
          </w:rPr>
          <w:t>segec.be</w:t>
        </w:r>
      </w:hyperlink>
    </w:p>
    <w:p w14:paraId="3D591852" w14:textId="77777777" w:rsidR="00531A88" w:rsidRDefault="00531A88" w:rsidP="006C5D21">
      <w:pPr>
        <w:autoSpaceDE w:val="0"/>
        <w:autoSpaceDN w:val="0"/>
        <w:adjustRightInd w:val="0"/>
        <w:spacing w:after="60" w:line="240" w:lineRule="auto"/>
        <w:ind w:left="284"/>
        <w:jc w:val="both"/>
        <w:rPr>
          <w:rFonts w:ascii="Arial" w:hAnsi="Arial" w:cs="Arial"/>
          <w:sz w:val="24"/>
          <w:szCs w:val="24"/>
        </w:rPr>
      </w:pPr>
      <w:r>
        <w:rPr>
          <w:rFonts w:ascii="Arial" w:hAnsi="Arial" w:cs="Arial"/>
          <w:sz w:val="24"/>
          <w:szCs w:val="24"/>
        </w:rPr>
        <w:t xml:space="preserve">Ingrid Busa (diocèses de Liège et de Namur) : </w:t>
      </w:r>
      <w:hyperlink r:id="rId14" w:history="1">
        <w:r w:rsidRPr="003B27CA">
          <w:rPr>
            <w:rStyle w:val="Lienhypertexte"/>
            <w:rFonts w:ascii="Arial" w:hAnsi="Arial" w:cs="Arial"/>
            <w:sz w:val="24"/>
            <w:szCs w:val="24"/>
          </w:rPr>
          <w:t>ingrid.busa</w:t>
        </w:r>
        <w:r w:rsidRPr="003B27CA">
          <w:rPr>
            <w:rStyle w:val="Lienhypertexte"/>
            <w:rFonts w:ascii="Tahoma" w:hAnsi="Tahoma" w:cs="Tahoma"/>
            <w:sz w:val="24"/>
            <w:szCs w:val="24"/>
          </w:rPr>
          <w:t>@</w:t>
        </w:r>
        <w:r w:rsidRPr="003B27CA">
          <w:rPr>
            <w:rStyle w:val="Lienhypertexte"/>
            <w:rFonts w:ascii="Arial" w:hAnsi="Arial" w:cs="Arial"/>
            <w:sz w:val="24"/>
            <w:szCs w:val="24"/>
          </w:rPr>
          <w:t>segec.be</w:t>
        </w:r>
      </w:hyperlink>
    </w:p>
    <w:p w14:paraId="1E06E97E" w14:textId="77777777" w:rsidR="00531A88" w:rsidRDefault="00531A88" w:rsidP="006C5D21">
      <w:pPr>
        <w:autoSpaceDE w:val="0"/>
        <w:autoSpaceDN w:val="0"/>
        <w:adjustRightInd w:val="0"/>
        <w:spacing w:after="60" w:line="240" w:lineRule="auto"/>
        <w:ind w:left="284"/>
        <w:jc w:val="both"/>
        <w:rPr>
          <w:rFonts w:ascii="Arial" w:hAnsi="Arial" w:cs="Arial"/>
          <w:sz w:val="24"/>
          <w:szCs w:val="24"/>
        </w:rPr>
      </w:pPr>
      <w:r>
        <w:rPr>
          <w:rFonts w:ascii="Arial" w:hAnsi="Arial" w:cs="Arial"/>
          <w:sz w:val="24"/>
          <w:szCs w:val="24"/>
        </w:rPr>
        <w:t xml:space="preserve">Didier </w:t>
      </w:r>
      <w:proofErr w:type="spellStart"/>
      <w:r>
        <w:rPr>
          <w:rFonts w:ascii="Arial" w:hAnsi="Arial" w:cs="Arial"/>
          <w:sz w:val="24"/>
          <w:szCs w:val="24"/>
        </w:rPr>
        <w:t>Xhrouet</w:t>
      </w:r>
      <w:proofErr w:type="spellEnd"/>
      <w:r>
        <w:rPr>
          <w:rFonts w:ascii="Arial" w:hAnsi="Arial" w:cs="Arial"/>
          <w:sz w:val="24"/>
          <w:szCs w:val="24"/>
        </w:rPr>
        <w:t xml:space="preserve"> (diocèse de Malines-Bruxelles) : </w:t>
      </w:r>
      <w:hyperlink r:id="rId15" w:history="1">
        <w:r w:rsidRPr="003B27CA">
          <w:rPr>
            <w:rStyle w:val="Lienhypertexte"/>
            <w:rFonts w:ascii="Arial" w:hAnsi="Arial" w:cs="Arial"/>
            <w:sz w:val="24"/>
            <w:szCs w:val="24"/>
          </w:rPr>
          <w:t>didier.xhrouet</w:t>
        </w:r>
        <w:r w:rsidRPr="003B27CA">
          <w:rPr>
            <w:rStyle w:val="Lienhypertexte"/>
            <w:rFonts w:ascii="Tahoma" w:hAnsi="Tahoma" w:cs="Tahoma"/>
            <w:sz w:val="24"/>
            <w:szCs w:val="24"/>
          </w:rPr>
          <w:t>@</w:t>
        </w:r>
        <w:r w:rsidRPr="003B27CA">
          <w:rPr>
            <w:rStyle w:val="Lienhypertexte"/>
            <w:rFonts w:ascii="Arial" w:hAnsi="Arial" w:cs="Arial"/>
            <w:sz w:val="24"/>
            <w:szCs w:val="24"/>
          </w:rPr>
          <w:t>segec.be</w:t>
        </w:r>
      </w:hyperlink>
    </w:p>
    <w:p w14:paraId="0A38493D" w14:textId="77777777" w:rsidR="00531A88" w:rsidRDefault="00531A88" w:rsidP="006C5D21">
      <w:pPr>
        <w:autoSpaceDE w:val="0"/>
        <w:autoSpaceDN w:val="0"/>
        <w:adjustRightInd w:val="0"/>
        <w:spacing w:after="60" w:line="240" w:lineRule="auto"/>
        <w:ind w:left="284"/>
        <w:jc w:val="both"/>
        <w:rPr>
          <w:rFonts w:ascii="Arial" w:hAnsi="Arial" w:cs="Arial"/>
          <w:sz w:val="24"/>
          <w:szCs w:val="24"/>
        </w:rPr>
      </w:pPr>
      <w:r>
        <w:rPr>
          <w:rFonts w:ascii="Arial" w:hAnsi="Arial" w:cs="Arial"/>
          <w:sz w:val="24"/>
          <w:szCs w:val="24"/>
        </w:rPr>
        <w:t xml:space="preserve">Vinciane </w:t>
      </w:r>
      <w:proofErr w:type="spellStart"/>
      <w:r>
        <w:rPr>
          <w:rFonts w:ascii="Arial" w:hAnsi="Arial" w:cs="Arial"/>
          <w:sz w:val="24"/>
          <w:szCs w:val="24"/>
        </w:rPr>
        <w:t>Pirotte</w:t>
      </w:r>
      <w:proofErr w:type="spellEnd"/>
      <w:r>
        <w:rPr>
          <w:rFonts w:ascii="Arial" w:hAnsi="Arial" w:cs="Arial"/>
          <w:sz w:val="24"/>
          <w:szCs w:val="24"/>
        </w:rPr>
        <w:t xml:space="preserve"> (diocèse de Malines-Bruxelles) : </w:t>
      </w:r>
      <w:hyperlink r:id="rId16" w:history="1">
        <w:r w:rsidRPr="003B27CA">
          <w:rPr>
            <w:rStyle w:val="Lienhypertexte"/>
            <w:rFonts w:ascii="Arial" w:hAnsi="Arial" w:cs="Arial"/>
            <w:sz w:val="24"/>
            <w:szCs w:val="24"/>
          </w:rPr>
          <w:t>vinciane.pirotte</w:t>
        </w:r>
        <w:r w:rsidRPr="003B27CA">
          <w:rPr>
            <w:rStyle w:val="Lienhypertexte"/>
            <w:rFonts w:ascii="Tahoma" w:hAnsi="Tahoma" w:cs="Tahoma"/>
            <w:sz w:val="24"/>
            <w:szCs w:val="24"/>
          </w:rPr>
          <w:t>@</w:t>
        </w:r>
        <w:r w:rsidRPr="003B27CA">
          <w:rPr>
            <w:rStyle w:val="Lienhypertexte"/>
            <w:rFonts w:ascii="Arial" w:hAnsi="Arial" w:cs="Arial"/>
            <w:sz w:val="24"/>
            <w:szCs w:val="24"/>
          </w:rPr>
          <w:t>segec.be</w:t>
        </w:r>
      </w:hyperlink>
    </w:p>
    <w:p w14:paraId="2C5E610F" w14:textId="77777777" w:rsidR="00531A88" w:rsidRDefault="00531A88" w:rsidP="006C5D21">
      <w:pPr>
        <w:autoSpaceDE w:val="0"/>
        <w:autoSpaceDN w:val="0"/>
        <w:adjustRightInd w:val="0"/>
        <w:spacing w:after="0" w:line="240" w:lineRule="auto"/>
        <w:ind w:left="284"/>
        <w:jc w:val="both"/>
        <w:rPr>
          <w:rFonts w:ascii="Arial" w:hAnsi="Arial" w:cs="Arial"/>
          <w:sz w:val="24"/>
          <w:szCs w:val="24"/>
        </w:rPr>
      </w:pPr>
      <w:r>
        <w:rPr>
          <w:rFonts w:ascii="Arial" w:hAnsi="Arial" w:cs="Arial"/>
          <w:sz w:val="24"/>
          <w:szCs w:val="24"/>
        </w:rPr>
        <w:t xml:space="preserve">Mireille Fontaine (diocèse de Malines-Bruxelles) : </w:t>
      </w:r>
      <w:hyperlink r:id="rId17" w:history="1">
        <w:r w:rsidRPr="003B27CA">
          <w:rPr>
            <w:rStyle w:val="Lienhypertexte"/>
            <w:rFonts w:ascii="Arial" w:hAnsi="Arial" w:cs="Arial"/>
            <w:sz w:val="24"/>
            <w:szCs w:val="24"/>
          </w:rPr>
          <w:t>mireille.fontaine</w:t>
        </w:r>
        <w:r w:rsidRPr="003B27CA">
          <w:rPr>
            <w:rStyle w:val="Lienhypertexte"/>
            <w:rFonts w:ascii="Tahoma" w:hAnsi="Tahoma" w:cs="Tahoma"/>
            <w:sz w:val="24"/>
            <w:szCs w:val="24"/>
          </w:rPr>
          <w:t>@</w:t>
        </w:r>
        <w:r w:rsidRPr="003B27CA">
          <w:rPr>
            <w:rStyle w:val="Lienhypertexte"/>
            <w:rFonts w:ascii="Arial" w:hAnsi="Arial" w:cs="Arial"/>
            <w:sz w:val="24"/>
            <w:szCs w:val="24"/>
          </w:rPr>
          <w:t>segec.be</w:t>
        </w:r>
      </w:hyperlink>
    </w:p>
    <w:p w14:paraId="3BBE4342" w14:textId="77777777" w:rsidR="00531A88" w:rsidRDefault="00531A88" w:rsidP="00FC6269">
      <w:pPr>
        <w:autoSpaceDE w:val="0"/>
        <w:autoSpaceDN w:val="0"/>
        <w:adjustRightInd w:val="0"/>
        <w:spacing w:after="0" w:line="240" w:lineRule="auto"/>
        <w:jc w:val="both"/>
        <w:rPr>
          <w:rFonts w:ascii="Arial" w:hAnsi="Arial" w:cs="Arial"/>
          <w:sz w:val="24"/>
          <w:szCs w:val="24"/>
        </w:rPr>
      </w:pPr>
    </w:p>
    <w:p w14:paraId="0D270768" w14:textId="77777777" w:rsidR="00FC6269" w:rsidRDefault="00FC6269" w:rsidP="00FC6269">
      <w:pPr>
        <w:autoSpaceDE w:val="0"/>
        <w:autoSpaceDN w:val="0"/>
        <w:adjustRightInd w:val="0"/>
        <w:spacing w:after="0" w:line="240" w:lineRule="auto"/>
        <w:jc w:val="both"/>
        <w:rPr>
          <w:rFonts w:ascii="Arial" w:hAnsi="Arial" w:cs="Arial"/>
          <w:sz w:val="24"/>
          <w:szCs w:val="24"/>
        </w:rPr>
      </w:pPr>
    </w:p>
    <w:p w14:paraId="2D53DEC0" w14:textId="77777777" w:rsidR="00FC6269" w:rsidRPr="0030203D" w:rsidRDefault="00FC6269" w:rsidP="004F329D">
      <w:pPr>
        <w:autoSpaceDE w:val="0"/>
        <w:autoSpaceDN w:val="0"/>
        <w:adjustRightInd w:val="0"/>
        <w:spacing w:after="0" w:line="240" w:lineRule="auto"/>
        <w:jc w:val="both"/>
        <w:rPr>
          <w:rFonts w:ascii="Arial" w:hAnsi="Arial" w:cs="Arial"/>
          <w:sz w:val="24"/>
          <w:szCs w:val="24"/>
        </w:rPr>
      </w:pPr>
    </w:p>
    <w:sectPr w:rsidR="00FC6269" w:rsidRPr="0030203D">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B3E6A" w14:textId="77777777" w:rsidR="00C105FC" w:rsidRDefault="00C105FC" w:rsidP="004F329D">
      <w:pPr>
        <w:spacing w:after="0" w:line="240" w:lineRule="auto"/>
      </w:pPr>
      <w:r>
        <w:separator/>
      </w:r>
    </w:p>
  </w:endnote>
  <w:endnote w:type="continuationSeparator" w:id="0">
    <w:p w14:paraId="44E0FDDE" w14:textId="77777777" w:rsidR="00C105FC" w:rsidRDefault="00C105FC" w:rsidP="004F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085316"/>
      <w:docPartObj>
        <w:docPartGallery w:val="Page Numbers (Bottom of Page)"/>
        <w:docPartUnique/>
      </w:docPartObj>
    </w:sdtPr>
    <w:sdtContent>
      <w:p w14:paraId="0B4CCB4A" w14:textId="0083A47F" w:rsidR="000E0833" w:rsidRDefault="000E0833">
        <w:pPr>
          <w:pStyle w:val="Pieddepage"/>
          <w:jc w:val="right"/>
        </w:pPr>
        <w:r>
          <w:fldChar w:fldCharType="begin"/>
        </w:r>
        <w:r>
          <w:instrText>PAGE   \* MERGEFORMAT</w:instrText>
        </w:r>
        <w:r>
          <w:fldChar w:fldCharType="separate"/>
        </w:r>
        <w:r>
          <w:rPr>
            <w:lang w:val="fr-FR"/>
          </w:rPr>
          <w:t>2</w:t>
        </w:r>
        <w:r>
          <w:fldChar w:fldCharType="end"/>
        </w:r>
      </w:p>
    </w:sdtContent>
  </w:sdt>
  <w:p w14:paraId="5FE14716" w14:textId="05A509E8" w:rsidR="000E0833" w:rsidRDefault="000E0833">
    <w:pPr>
      <w:pStyle w:val="Pieddepage"/>
    </w:pPr>
    <w:r>
      <w:rPr>
        <w:noProof/>
      </w:rPr>
      <w:drawing>
        <wp:anchor distT="0" distB="0" distL="114300" distR="114300" simplePos="0" relativeHeight="251658240" behindDoc="0" locked="0" layoutInCell="1" allowOverlap="1" wp14:anchorId="2779ABC0" wp14:editId="69367B1F">
          <wp:simplePos x="0" y="0"/>
          <wp:positionH relativeFrom="column">
            <wp:posOffset>1905</wp:posOffset>
          </wp:positionH>
          <wp:positionV relativeFrom="paragraph">
            <wp:posOffset>-191135</wp:posOffset>
          </wp:positionV>
          <wp:extent cx="613434" cy="36000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sec.png"/>
                  <pic:cNvPicPr/>
                </pic:nvPicPr>
                <pic:blipFill>
                  <a:blip r:embed="rId1">
                    <a:extLst>
                      <a:ext uri="{28A0092B-C50C-407E-A947-70E740481C1C}">
                        <a14:useLocalDpi xmlns:a14="http://schemas.microsoft.com/office/drawing/2010/main" val="0"/>
                      </a:ext>
                    </a:extLst>
                  </a:blip>
                  <a:stretch>
                    <a:fillRect/>
                  </a:stretch>
                </pic:blipFill>
                <pic:spPr>
                  <a:xfrm>
                    <a:off x="0" y="0"/>
                    <a:ext cx="613434" cy="360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4C44" w14:textId="77777777" w:rsidR="00C105FC" w:rsidRDefault="00C105FC" w:rsidP="004F329D">
      <w:pPr>
        <w:spacing w:after="0" w:line="240" w:lineRule="auto"/>
      </w:pPr>
      <w:r>
        <w:separator/>
      </w:r>
    </w:p>
  </w:footnote>
  <w:footnote w:type="continuationSeparator" w:id="0">
    <w:p w14:paraId="11628223" w14:textId="77777777" w:rsidR="00C105FC" w:rsidRDefault="00C105FC" w:rsidP="004F329D">
      <w:pPr>
        <w:spacing w:after="0" w:line="240" w:lineRule="auto"/>
      </w:pPr>
      <w:r>
        <w:continuationSeparator/>
      </w:r>
    </w:p>
  </w:footnote>
  <w:footnote w:id="1">
    <w:p w14:paraId="582E2218" w14:textId="77777777" w:rsidR="004F329D" w:rsidRDefault="004F329D">
      <w:pPr>
        <w:pStyle w:val="Notedebasdepage"/>
      </w:pPr>
      <w:r>
        <w:rPr>
          <w:rStyle w:val="Appelnotedebasdep"/>
        </w:rPr>
        <w:footnoteRef/>
      </w:r>
      <w:r>
        <w:t xml:space="preserve"> </w:t>
      </w:r>
      <w:r w:rsidRPr="0030203D">
        <w:rPr>
          <w:i/>
          <w:iCs/>
        </w:rPr>
        <w:t>Programme de religion catholique</w:t>
      </w:r>
      <w:r>
        <w:t xml:space="preserve"> - </w:t>
      </w:r>
      <w:r w:rsidRPr="004F329D">
        <w:t>236/2003/240</w:t>
      </w:r>
      <w:r>
        <w:t>.</w:t>
      </w:r>
    </w:p>
  </w:footnote>
  <w:footnote w:id="2">
    <w:p w14:paraId="7CDEE1C2" w14:textId="77777777" w:rsidR="0030203D" w:rsidRDefault="0030203D">
      <w:pPr>
        <w:pStyle w:val="Notedebasdepage"/>
      </w:pPr>
      <w:r>
        <w:rPr>
          <w:rStyle w:val="Appelnotedebasdep"/>
        </w:rPr>
        <w:footnoteRef/>
      </w:r>
      <w:r>
        <w:t xml:space="preserve"> </w:t>
      </w:r>
      <w:r w:rsidRPr="0030203D">
        <w:rPr>
          <w:i/>
          <w:iCs/>
        </w:rPr>
        <w:t>Idem</w:t>
      </w:r>
      <w:r>
        <w:t>.</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4514F"/>
    <w:multiLevelType w:val="hybridMultilevel"/>
    <w:tmpl w:val="5F86FEEE"/>
    <w:lvl w:ilvl="0" w:tplc="356613D0">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29D"/>
    <w:rsid w:val="000C5A53"/>
    <w:rsid w:val="000E0833"/>
    <w:rsid w:val="00154714"/>
    <w:rsid w:val="0030203D"/>
    <w:rsid w:val="004F329D"/>
    <w:rsid w:val="00531A88"/>
    <w:rsid w:val="00665047"/>
    <w:rsid w:val="006C5D21"/>
    <w:rsid w:val="00A01B92"/>
    <w:rsid w:val="00C105FC"/>
    <w:rsid w:val="00FC6269"/>
    <w:rsid w:val="7EF907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7059F"/>
  <w15:chartTrackingRefBased/>
  <w15:docId w15:val="{DE96022C-1241-4635-B078-AE0A77C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F32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329D"/>
    <w:rPr>
      <w:sz w:val="20"/>
      <w:szCs w:val="20"/>
    </w:rPr>
  </w:style>
  <w:style w:type="character" w:styleId="Appelnotedebasdep">
    <w:name w:val="footnote reference"/>
    <w:basedOn w:val="Policepardfaut"/>
    <w:uiPriority w:val="99"/>
    <w:semiHidden/>
    <w:unhideWhenUsed/>
    <w:rsid w:val="004F329D"/>
    <w:rPr>
      <w:vertAlign w:val="superscript"/>
    </w:rPr>
  </w:style>
  <w:style w:type="paragraph" w:styleId="Paragraphedeliste">
    <w:name w:val="List Paragraph"/>
    <w:basedOn w:val="Normal"/>
    <w:uiPriority w:val="34"/>
    <w:qFormat/>
    <w:rsid w:val="0030203D"/>
    <w:pPr>
      <w:ind w:left="720"/>
      <w:contextualSpacing/>
    </w:pPr>
  </w:style>
  <w:style w:type="table" w:styleId="Grilledutableau">
    <w:name w:val="Table Grid"/>
    <w:basedOn w:val="TableauNormal"/>
    <w:uiPriority w:val="39"/>
    <w:rsid w:val="00A01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1A88"/>
    <w:rPr>
      <w:color w:val="0563C1" w:themeColor="hyperlink"/>
      <w:u w:val="single"/>
    </w:rPr>
  </w:style>
  <w:style w:type="character" w:styleId="Mentionnonrsolue">
    <w:name w:val="Unresolved Mention"/>
    <w:basedOn w:val="Policepardfaut"/>
    <w:uiPriority w:val="99"/>
    <w:semiHidden/>
    <w:unhideWhenUsed/>
    <w:rsid w:val="00531A88"/>
    <w:rPr>
      <w:color w:val="605E5C"/>
      <w:shd w:val="clear" w:color="auto" w:fill="E1DFDD"/>
    </w:rPr>
  </w:style>
  <w:style w:type="paragraph" w:styleId="En-tte">
    <w:name w:val="header"/>
    <w:basedOn w:val="Normal"/>
    <w:link w:val="En-tteCar"/>
    <w:uiPriority w:val="99"/>
    <w:unhideWhenUsed/>
    <w:rsid w:val="000E0833"/>
    <w:pPr>
      <w:tabs>
        <w:tab w:val="center" w:pos="4536"/>
        <w:tab w:val="right" w:pos="9072"/>
      </w:tabs>
      <w:spacing w:after="0" w:line="240" w:lineRule="auto"/>
    </w:pPr>
  </w:style>
  <w:style w:type="character" w:customStyle="1" w:styleId="En-tteCar">
    <w:name w:val="En-tête Car"/>
    <w:basedOn w:val="Policepardfaut"/>
    <w:link w:val="En-tte"/>
    <w:uiPriority w:val="99"/>
    <w:rsid w:val="000E0833"/>
  </w:style>
  <w:style w:type="paragraph" w:styleId="Pieddepage">
    <w:name w:val="footer"/>
    <w:basedOn w:val="Normal"/>
    <w:link w:val="PieddepageCar"/>
    <w:uiPriority w:val="99"/>
    <w:unhideWhenUsed/>
    <w:rsid w:val="000E08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0833"/>
  </w:style>
  <w:style w:type="paragraph" w:styleId="Textedebulles">
    <w:name w:val="Balloon Text"/>
    <w:basedOn w:val="Normal"/>
    <w:link w:val="TextedebullesCar"/>
    <w:uiPriority w:val="99"/>
    <w:semiHidden/>
    <w:unhideWhenUsed/>
    <w:rsid w:val="000E08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08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xel.hoorelbeke@segec.b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njamin.stievenart@segec.be" TargetMode="External"/><Relationship Id="rId17" Type="http://schemas.openxmlformats.org/officeDocument/2006/relationships/hyperlink" Target="mailto:mireille.fontaine@segec.be" TargetMode="External"/><Relationship Id="rId2" Type="http://schemas.openxmlformats.org/officeDocument/2006/relationships/customXml" Target="../customXml/item2.xml"/><Relationship Id="rId16" Type="http://schemas.openxmlformats.org/officeDocument/2006/relationships/hyperlink" Target="mailto:vinciane.pirotte@segec.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idier.xhrouet@segec.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grid.busa@segec.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Dessambre Charline</DisplayName>
        <AccountId>134</AccountId>
        <AccountType/>
      </UserInfo>
      <UserInfo>
        <DisplayName>Blandine Flament</DisplayName>
        <AccountId>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26F9-AD73-46DB-AC8E-AD97F7B359B9}">
  <ds:schemaRefs>
    <ds:schemaRef ds:uri="http://schemas.microsoft.com/sharepoint/v3/contenttype/forms"/>
  </ds:schemaRefs>
</ds:datastoreItem>
</file>

<file path=customXml/itemProps2.xml><?xml version="1.0" encoding="utf-8"?>
<ds:datastoreItem xmlns:ds="http://schemas.openxmlformats.org/officeDocument/2006/customXml" ds:itemID="{794481AD-F83B-4B80-8737-AF081DF63427}">
  <ds:schemaRefs>
    <ds:schemaRef ds:uri="http://schemas.microsoft.com/office/2006/metadata/properties"/>
    <ds:schemaRef ds:uri="http://schemas.microsoft.com/office/infopath/2007/PartnerControls"/>
    <ds:schemaRef ds:uri="5505cd70-7e0f-4dc3-9eca-52c48a08fa6d"/>
  </ds:schemaRefs>
</ds:datastoreItem>
</file>

<file path=customXml/itemProps3.xml><?xml version="1.0" encoding="utf-8"?>
<ds:datastoreItem xmlns:ds="http://schemas.openxmlformats.org/officeDocument/2006/customXml" ds:itemID="{7CAED54D-6838-41B5-8625-2A19A8B8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8447F8-848F-42EA-AD9E-F77786C9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3349</Characters>
  <Application>Microsoft Office Word</Application>
  <DocSecurity>0</DocSecurity>
  <Lines>27</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Stievenart Benjamin</dc:creator>
  <cp:keywords/>
  <dc:description/>
  <cp:lastModifiedBy>Dessambre Charline</cp:lastModifiedBy>
  <cp:revision>4</cp:revision>
  <dcterms:created xsi:type="dcterms:W3CDTF">2020-04-16T04:58:00Z</dcterms:created>
  <dcterms:modified xsi:type="dcterms:W3CDTF">2020-04-16T09:30:00Z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