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3BFD" w14:textId="77777777" w:rsidR="00FC202F" w:rsidRDefault="00FC202F">
      <w:pPr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</w:pPr>
    </w:p>
    <w:p w14:paraId="0830FE80" w14:textId="1546AB17" w:rsidR="00362B0E" w:rsidRPr="00FC202F" w:rsidRDefault="00D058A8">
      <w:pPr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</w:pPr>
      <w:r w:rsidRPr="00FC202F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175775FD" wp14:editId="4B4EB535">
            <wp:simplePos x="0" y="0"/>
            <wp:positionH relativeFrom="margin">
              <wp:posOffset>1905</wp:posOffset>
            </wp:positionH>
            <wp:positionV relativeFrom="margin">
              <wp:align>top</wp:align>
            </wp:positionV>
            <wp:extent cx="1079500" cy="63690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766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P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our finaliser un projet</w:t>
      </w:r>
      <w:r w:rsidR="007A2766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/une réalisation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 à distance avec les élèves d</w:t>
      </w:r>
      <w:r w:rsidR="004C2E51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e l’enseignement 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qualifiant </w:t>
      </w:r>
      <w:r w:rsidR="005411C5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dans le secteur 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Arts</w:t>
      </w:r>
      <w:r w:rsidR="005411C5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.</w:t>
      </w:r>
    </w:p>
    <w:p w14:paraId="49C0C4B3" w14:textId="77777777" w:rsidR="00FC202F" w:rsidRDefault="00FC202F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50923D4E" w14:textId="77777777" w:rsidR="00FC202F" w:rsidRDefault="00FC202F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5AA02FFE" w14:textId="0346DCD3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E5E1CA6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0B7DE0C1" w14:textId="22B0EF72" w:rsidR="00DB7B8D" w:rsidRPr="00DF4348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 xml:space="preserve">Communication des objectifs </w:t>
      </w:r>
    </w:p>
    <w:p w14:paraId="78DEB79C" w14:textId="77777777" w:rsidR="0011112F" w:rsidRPr="00DF4348" w:rsidRDefault="0011112F" w:rsidP="0011112F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228978FD" w14:textId="77777777" w:rsidR="00181F8E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L’enseignant définit ou redéfinit les objectifs du travail demandé, éventuellement réajustés au vu des circonstances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 :</w:t>
      </w:r>
    </w:p>
    <w:p w14:paraId="0DDB8290" w14:textId="49A7BA4E" w:rsidR="00181F8E" w:rsidRPr="00DF4348" w:rsidRDefault="006A2110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Quelles compétences sont travaillées</w:t>
      </w:r>
      <w:r w:rsidR="009169F1" w:rsidRPr="00DF4348">
        <w:rPr>
          <w:rFonts w:eastAsia="Times New Roman" w:cstheme="minorHAnsi"/>
          <w:sz w:val="20"/>
          <w:szCs w:val="20"/>
          <w:lang w:eastAsia="fr-BE"/>
        </w:rPr>
        <w:t> ?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Quelle est l’i</w:t>
      </w:r>
      <w:r w:rsidRPr="00DF4348">
        <w:rPr>
          <w:rFonts w:eastAsia="Times New Roman" w:cstheme="minorHAnsi"/>
          <w:sz w:val="20"/>
          <w:szCs w:val="20"/>
          <w:lang w:eastAsia="fr-BE"/>
        </w:rPr>
        <w:t>mportance de celles-ci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 ?</w:t>
      </w:r>
    </w:p>
    <w:p w14:paraId="42A3270A" w14:textId="60D9930A" w:rsidR="00297D5C" w:rsidRPr="00DF4348" w:rsidRDefault="00297D5C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3964C8CC" w14:textId="7777777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6A7813CC" w14:textId="40D6362D" w:rsidR="00DB7B8D" w:rsidRPr="00DF4348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>Communication des consignes et modalités pour la réalisation des tâches et la communication des productions</w:t>
      </w:r>
    </w:p>
    <w:p w14:paraId="74E93E93" w14:textId="77777777" w:rsidR="00826335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1B9C6336" w14:textId="3C03E9AD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Adaptation éventuelle des outils utilisés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 xml:space="preserve"> (</w:t>
      </w:r>
      <w:r w:rsidR="007A2766" w:rsidRPr="00DF4348">
        <w:rPr>
          <w:rFonts w:eastAsia="Times New Roman" w:cstheme="minorHAnsi"/>
          <w:sz w:val="20"/>
          <w:szCs w:val="20"/>
          <w:lang w:eastAsia="fr-BE"/>
        </w:rPr>
        <w:t xml:space="preserve">en fonction des 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>outils et supports disponibles chez l’élève)</w:t>
      </w:r>
      <w:r w:rsidRPr="00DF4348">
        <w:rPr>
          <w:rFonts w:eastAsia="Times New Roman" w:cstheme="minorHAnsi"/>
          <w:sz w:val="20"/>
          <w:szCs w:val="20"/>
          <w:lang w:eastAsia="fr-BE"/>
        </w:rPr>
        <w:t>,</w:t>
      </w:r>
      <w:r w:rsidR="00105F88" w:rsidRPr="00DF4348">
        <w:rPr>
          <w:rFonts w:eastAsia="Times New Roman" w:cstheme="minorHAnsi"/>
          <w:sz w:val="20"/>
          <w:szCs w:val="20"/>
          <w:lang w:eastAsia="fr-BE"/>
        </w:rPr>
        <w:t xml:space="preserve"> solutions d’accès à du matériel spécifique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, 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 xml:space="preserve">définition des 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dates d’échéance, 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 xml:space="preserve">des </w:t>
      </w:r>
      <w:r w:rsidRPr="00DF4348">
        <w:rPr>
          <w:rFonts w:eastAsia="Times New Roman" w:cstheme="minorHAnsi"/>
          <w:sz w:val="20"/>
          <w:szCs w:val="20"/>
          <w:lang w:eastAsia="fr-BE"/>
        </w:rPr>
        <w:t>mode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>s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de communication (photo, vidéo, publication dans un espace </w:t>
      </w:r>
      <w:r w:rsidRPr="00B162F2">
        <w:rPr>
          <w:rFonts w:eastAsia="Times New Roman" w:cstheme="minorHAnsi"/>
          <w:sz w:val="20"/>
          <w:szCs w:val="20"/>
          <w:lang w:eastAsia="fr-BE"/>
        </w:rPr>
        <w:t>collaboratif, tutori</w:t>
      </w:r>
      <w:r w:rsidR="00FC202F" w:rsidRPr="00B162F2">
        <w:rPr>
          <w:rFonts w:eastAsia="Times New Roman" w:cstheme="minorHAnsi"/>
          <w:sz w:val="20"/>
          <w:szCs w:val="20"/>
          <w:lang w:eastAsia="fr-BE"/>
        </w:rPr>
        <w:t>el bientôt disponible</w:t>
      </w:r>
      <w:r w:rsidRPr="00B162F2">
        <w:rPr>
          <w:rFonts w:eastAsia="Times New Roman" w:cstheme="minorHAnsi"/>
          <w:sz w:val="20"/>
          <w:szCs w:val="20"/>
          <w:lang w:eastAsia="fr-BE"/>
        </w:rPr>
        <w:t>)</w:t>
      </w:r>
      <w:r w:rsidR="00B162F2">
        <w:rPr>
          <w:rFonts w:eastAsia="Times New Roman" w:cstheme="minorHAnsi"/>
          <w:sz w:val="20"/>
          <w:szCs w:val="20"/>
          <w:lang w:eastAsia="fr-BE"/>
        </w:rPr>
        <w:t>.</w:t>
      </w:r>
      <w:bookmarkStart w:id="0" w:name="_GoBack"/>
      <w:bookmarkEnd w:id="0"/>
    </w:p>
    <w:p w14:paraId="3E0B235B" w14:textId="133CDD5D" w:rsidR="00A518A0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Envoi de liens vers des d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 xml:space="preserve">ocuments d’aide (capsules vidéo </w:t>
      </w:r>
      <w:r w:rsidR="004F1772" w:rsidRPr="00DF4348">
        <w:rPr>
          <w:rFonts w:eastAsia="Times New Roman" w:cstheme="minorHAnsi"/>
          <w:sz w:val="20"/>
          <w:szCs w:val="20"/>
          <w:lang w:eastAsia="fr-BE"/>
        </w:rPr>
        <w:t>à visionner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 xml:space="preserve">, </w:t>
      </w:r>
      <w:r w:rsidR="00DF4348">
        <w:rPr>
          <w:rFonts w:eastAsia="Times New Roman" w:cstheme="minorHAnsi"/>
          <w:sz w:val="20"/>
          <w:szCs w:val="20"/>
          <w:lang w:eastAsia="fr-BE"/>
        </w:rPr>
        <w:t xml:space="preserve">scans et 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>documents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</w:t>
      </w:r>
      <w:proofErr w:type="spellStart"/>
      <w:r w:rsidRPr="00DF4348">
        <w:rPr>
          <w:rFonts w:eastAsia="Times New Roman" w:cstheme="minorHAnsi"/>
          <w:sz w:val="20"/>
          <w:szCs w:val="20"/>
          <w:lang w:eastAsia="fr-BE"/>
        </w:rPr>
        <w:t>pdf</w:t>
      </w:r>
      <w:proofErr w:type="spellEnd"/>
      <w:r w:rsidR="004F1772" w:rsidRPr="00DF4348">
        <w:rPr>
          <w:rFonts w:eastAsia="Times New Roman" w:cstheme="minorHAnsi"/>
          <w:sz w:val="20"/>
          <w:szCs w:val="20"/>
          <w:lang w:eastAsia="fr-BE"/>
        </w:rPr>
        <w:t>…)</w:t>
      </w:r>
    </w:p>
    <w:p w14:paraId="77427F15" w14:textId="77777777" w:rsidR="00826335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08CBD6F2" w14:textId="7777777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0F01AE5A" w14:textId="68DDE2E4" w:rsidR="00DB7B8D" w:rsidRPr="00DF4348" w:rsidRDefault="00DB7B8D" w:rsidP="008841C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>Communication des modalités pour l'évaluation</w:t>
      </w:r>
    </w:p>
    <w:p w14:paraId="23562E1B" w14:textId="77777777" w:rsidR="007F5DE5" w:rsidRPr="00DF4348" w:rsidRDefault="007F5DE5" w:rsidP="007F5DE5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4E8A5B28" w14:textId="105AFA3D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L’enseig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>n</w:t>
      </w:r>
      <w:r w:rsidRPr="00DF4348">
        <w:rPr>
          <w:rFonts w:eastAsia="Times New Roman" w:cstheme="minorHAnsi"/>
          <w:sz w:val="20"/>
          <w:szCs w:val="20"/>
          <w:lang w:eastAsia="fr-BE"/>
        </w:rPr>
        <w:t>ant précise et avertit de la façon dont il communiquera ses avis, sur quels critères portera l’évaluation (envoi d’une grille éventuelle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 d’évaluation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), comment 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les </w:t>
      </w:r>
      <w:r w:rsidRPr="00DF4348">
        <w:rPr>
          <w:rFonts w:eastAsia="Times New Roman" w:cstheme="minorHAnsi"/>
          <w:sz w:val="20"/>
          <w:szCs w:val="20"/>
          <w:lang w:eastAsia="fr-BE"/>
        </w:rPr>
        <w:t>moments de mise en commun se passeront.</w:t>
      </w:r>
    </w:p>
    <w:p w14:paraId="2CD7EAAB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7252737E" w14:textId="3C337D2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1E55159D" w14:textId="77777777" w:rsidR="007F5DE5" w:rsidRPr="002A6E68" w:rsidRDefault="007F5DE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0258CA7" w14:textId="457A11DE" w:rsidR="001926A6" w:rsidRPr="00DF4348" w:rsidRDefault="001926A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L’élève réalise son travail </w:t>
      </w:r>
    </w:p>
    <w:p w14:paraId="1B91C174" w14:textId="02BA9E95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  <w:r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>Temps de tutorat pour répondre aux questions</w:t>
      </w:r>
      <w:r w:rsidR="007A2766"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 xml:space="preserve"> </w:t>
      </w:r>
      <w:r w:rsidR="008841C1"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 xml:space="preserve">et accompagner l’élève. </w:t>
      </w:r>
    </w:p>
    <w:p w14:paraId="41B7505D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3092D5BB" w14:textId="6D7B6DD0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</w:t>
      </w:r>
      <w:r w:rsidR="001926A6"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 / des réalisations</w:t>
      </w:r>
    </w:p>
    <w:p w14:paraId="3330B987" w14:textId="77777777" w:rsidR="007A2766" w:rsidRPr="002A6E68" w:rsidRDefault="007A276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319801E9" w14:textId="77777777" w:rsidR="00423132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Sur base de la production reçue, temps d’évaluation</w:t>
      </w:r>
      <w:r w:rsidR="00423132"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.</w:t>
      </w:r>
    </w:p>
    <w:p w14:paraId="0C1E2786" w14:textId="55C311F5" w:rsidR="00DB7B8D" w:rsidRPr="00DF4348" w:rsidRDefault="00423132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S</w:t>
      </w:r>
      <w:r w:rsidR="00DB7B8D"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oit retour en entretien individuel direct avec l’enseignant, soit réception de commentaires de l’enseignant (audio, vidéo, ou annotations de documents)</w:t>
      </w:r>
    </w:p>
    <w:p w14:paraId="7BDF092E" w14:textId="77777777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472C4" w:themeColor="accent1"/>
          <w:sz w:val="20"/>
          <w:szCs w:val="20"/>
          <w:lang w:eastAsia="fr-BE"/>
        </w:rPr>
      </w:pPr>
    </w:p>
    <w:p w14:paraId="3670312F" w14:textId="6F6970AD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3B148DFD" w14:textId="77777777" w:rsidR="00EC2EEE" w:rsidRPr="002A6E68" w:rsidRDefault="00EC2EEE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0AE5E9D" w14:textId="18454F8D" w:rsidR="00C340D3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P</w:t>
      </w:r>
      <w:r w:rsidR="00EC2EEE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our ce temps de structuration, il est intéressant d’essayer de transférer </w:t>
      </w:r>
      <w:r w:rsidR="00C340D3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ce que les expositions</w:t>
      </w:r>
      <w:r w:rsid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 </w:t>
      </w:r>
      <w:r w:rsidR="00C340D3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permettent : la confrontation à un regard « public » sur sa production.</w:t>
      </w:r>
    </w:p>
    <w:p w14:paraId="091B9B24" w14:textId="0D7DB5A0" w:rsidR="00DB7B8D" w:rsidRPr="00DF4348" w:rsidRDefault="006A6E4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Il est ici intéressant de p</w:t>
      </w:r>
      <w:r w:rsidR="00DB7B8D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révoir un partage des productions au sein du groupe-classe (mur ou espace collaboratif), présentations et commentaires réciproques, invité ou membre du extérieur </w:t>
      </w:r>
    </w:p>
    <w:p w14:paraId="031B5700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4AE540D7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57F54788" w14:textId="49AF4964" w:rsidR="00DB7B8D" w:rsidRPr="00DF4348" w:rsidRDefault="00B2388D">
      <w:pPr>
        <w:rPr>
          <w:rFonts w:cstheme="minorHAnsi"/>
          <w:i/>
          <w:sz w:val="20"/>
          <w:szCs w:val="20"/>
        </w:rPr>
      </w:pPr>
      <w:r w:rsidRPr="00DF4348">
        <w:rPr>
          <w:rFonts w:cstheme="minorHAnsi"/>
          <w:i/>
          <w:sz w:val="20"/>
          <w:szCs w:val="20"/>
        </w:rPr>
        <w:t>NB : Pour des exemples de déroulement plus détaillés, voir aussi les propositions de scénarios pour les options de transition du secteur Arts</w:t>
      </w:r>
    </w:p>
    <w:p w14:paraId="77C60B90" w14:textId="77777777" w:rsidR="00DB7B8D" w:rsidRPr="00DF4348" w:rsidRDefault="00DB7B8D">
      <w:pPr>
        <w:rPr>
          <w:rFonts w:cstheme="minorHAnsi"/>
          <w:sz w:val="20"/>
          <w:szCs w:val="20"/>
        </w:rPr>
      </w:pPr>
    </w:p>
    <w:sectPr w:rsidR="00DB7B8D" w:rsidRPr="00DF4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D269" w14:textId="77777777" w:rsidR="00A00636" w:rsidRDefault="00A00636" w:rsidP="00D058A8">
      <w:pPr>
        <w:spacing w:after="0" w:line="240" w:lineRule="auto"/>
      </w:pPr>
      <w:r>
        <w:separator/>
      </w:r>
    </w:p>
  </w:endnote>
  <w:endnote w:type="continuationSeparator" w:id="0">
    <w:p w14:paraId="2CBB01CE" w14:textId="77777777" w:rsidR="00A00636" w:rsidRDefault="00A00636" w:rsidP="00D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03D4" w14:textId="77777777" w:rsidR="00D058A8" w:rsidRDefault="00D058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97352"/>
      <w:docPartObj>
        <w:docPartGallery w:val="Page Numbers (Bottom of Page)"/>
        <w:docPartUnique/>
      </w:docPartObj>
    </w:sdtPr>
    <w:sdtEndPr/>
    <w:sdtContent>
      <w:p w14:paraId="3457A586" w14:textId="185B27A9" w:rsidR="00D058A8" w:rsidRDefault="00D058A8" w:rsidP="00D058A8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C0D4DBE" wp14:editId="73E862D6">
              <wp:simplePos x="0" y="0"/>
              <wp:positionH relativeFrom="column">
                <wp:posOffset>1905</wp:posOffset>
              </wp:positionH>
              <wp:positionV relativeFrom="paragraph">
                <wp:posOffset>-210185</wp:posOffset>
              </wp:positionV>
              <wp:extent cx="575945" cy="339725"/>
              <wp:effectExtent l="0" t="0" r="0" b="317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87AF" w14:textId="77777777" w:rsidR="00D058A8" w:rsidRDefault="00D05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4EF2" w14:textId="77777777" w:rsidR="00A00636" w:rsidRDefault="00A00636" w:rsidP="00D058A8">
      <w:pPr>
        <w:spacing w:after="0" w:line="240" w:lineRule="auto"/>
      </w:pPr>
      <w:r>
        <w:separator/>
      </w:r>
    </w:p>
  </w:footnote>
  <w:footnote w:type="continuationSeparator" w:id="0">
    <w:p w14:paraId="241F648B" w14:textId="77777777" w:rsidR="00A00636" w:rsidRDefault="00A00636" w:rsidP="00D0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E91" w14:textId="77777777" w:rsidR="00D058A8" w:rsidRDefault="00D058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494C" w14:textId="77777777" w:rsidR="00D058A8" w:rsidRDefault="00D058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BEDA" w14:textId="77777777" w:rsidR="00D058A8" w:rsidRDefault="00D05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7934"/>
    <w:multiLevelType w:val="hybridMultilevel"/>
    <w:tmpl w:val="6F322E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D"/>
    <w:rsid w:val="00105F88"/>
    <w:rsid w:val="0011112F"/>
    <w:rsid w:val="00181F8E"/>
    <w:rsid w:val="001926A6"/>
    <w:rsid w:val="002352C2"/>
    <w:rsid w:val="00297D5C"/>
    <w:rsid w:val="002A6E68"/>
    <w:rsid w:val="00362B0E"/>
    <w:rsid w:val="00423132"/>
    <w:rsid w:val="004C2E51"/>
    <w:rsid w:val="004D518E"/>
    <w:rsid w:val="004F1772"/>
    <w:rsid w:val="005411C5"/>
    <w:rsid w:val="006A2110"/>
    <w:rsid w:val="006A6E4D"/>
    <w:rsid w:val="007A2766"/>
    <w:rsid w:val="007F5DE5"/>
    <w:rsid w:val="00826335"/>
    <w:rsid w:val="008841C1"/>
    <w:rsid w:val="008D1E77"/>
    <w:rsid w:val="009169F1"/>
    <w:rsid w:val="00A00636"/>
    <w:rsid w:val="00A518A0"/>
    <w:rsid w:val="00B162F2"/>
    <w:rsid w:val="00B2388D"/>
    <w:rsid w:val="00C340D3"/>
    <w:rsid w:val="00D058A8"/>
    <w:rsid w:val="00DB7B8D"/>
    <w:rsid w:val="00DF4348"/>
    <w:rsid w:val="00EC2EEE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5016"/>
  <w15:chartTrackingRefBased/>
  <w15:docId w15:val="{1E37D235-2070-4F03-B6AB-AC8C827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8A8"/>
  </w:style>
  <w:style w:type="paragraph" w:styleId="Pieddepage">
    <w:name w:val="footer"/>
    <w:basedOn w:val="Normal"/>
    <w:link w:val="PieddepageCar"/>
    <w:uiPriority w:val="99"/>
    <w:unhideWhenUsed/>
    <w:rsid w:val="00D0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6D6B7-5D22-46DE-938D-B4DAF8C2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B89D9-91D1-48FB-A108-32B0C85C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E2770-1F1E-4240-9A12-6335C8F33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28</cp:revision>
  <dcterms:created xsi:type="dcterms:W3CDTF">2020-05-06T07:38:00Z</dcterms:created>
  <dcterms:modified xsi:type="dcterms:W3CDTF">2020-12-03T08:45:00Z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