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D2ED" w14:textId="77777777" w:rsidR="00A73014" w:rsidRDefault="00A73014" w:rsidP="006874B5">
      <w:pPr>
        <w:pStyle w:val="Titre"/>
      </w:pPr>
      <w:r>
        <w:t>Monteur/Monteuse en chauffage et sanitaire</w:t>
      </w:r>
    </w:p>
    <w:p w14:paraId="353EBA25" w14:textId="77777777" w:rsidR="001829B1" w:rsidRPr="001829B1" w:rsidRDefault="00A73014" w:rsidP="006874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/>
      </w:pPr>
      <w:r w:rsidRPr="001829B1">
        <w:t>UAA6 : Façonnage et placement de conduites d’évacuation des eaux usées, placement et raccordement d’appareils sanitaires</w:t>
      </w:r>
    </w:p>
    <w:p w14:paraId="4277F46F" w14:textId="77777777" w:rsidR="001F1FBF" w:rsidRPr="001829B1" w:rsidRDefault="001829B1" w:rsidP="006874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/>
      </w:pPr>
      <w:r w:rsidRPr="001829B1">
        <w:t>Séquence : les conduites d’évacuation des eaux usées</w:t>
      </w:r>
    </w:p>
    <w:p w14:paraId="0EE91BBF" w14:textId="77777777" w:rsidR="00D13233" w:rsidRDefault="006862E7" w:rsidP="000311EB">
      <w:pPr>
        <w:pStyle w:val="Titre2"/>
        <w:shd w:val="clear" w:color="auto" w:fill="FFE599" w:themeFill="accent4" w:themeFillTint="66"/>
      </w:pPr>
      <w:r w:rsidRPr="006874B5">
        <w:t xml:space="preserve">Temps 1 </w:t>
      </w:r>
      <w:r w:rsidR="0049757B" w:rsidRPr="006874B5">
        <w:t>–</w:t>
      </w:r>
      <w:r w:rsidRPr="006874B5">
        <w:t xml:space="preserve"> Synchrone</w:t>
      </w:r>
      <w:r w:rsidR="0049757B" w:rsidRPr="006874B5">
        <w:t>, e</w:t>
      </w:r>
      <w:r w:rsidRPr="006874B5">
        <w:t>n visioconférence</w:t>
      </w:r>
      <w:r w:rsidR="0049757B" w:rsidRPr="006874B5">
        <w:t> :</w:t>
      </w:r>
      <w:r w:rsidRPr="006874B5">
        <w:t xml:space="preserve"> </w:t>
      </w:r>
      <w:r w:rsidR="0049757B" w:rsidRPr="006874B5">
        <w:t>mise en place de la séquence</w:t>
      </w:r>
    </w:p>
    <w:p w14:paraId="1FDA2490" w14:textId="77777777" w:rsidR="006862E7" w:rsidRDefault="006862E7" w:rsidP="001A575A">
      <w:pPr>
        <w:pStyle w:val="Titre3"/>
      </w:pPr>
      <w:r>
        <w:t>Communication des objectifs de l'apprentissage :</w:t>
      </w:r>
    </w:p>
    <w:p w14:paraId="0EB9684E" w14:textId="77777777" w:rsidR="006862E7" w:rsidRDefault="005A3C27" w:rsidP="006862E7">
      <w:r>
        <w:t xml:space="preserve">Assurer les bases théoriques nécessaires à l’acquisition, en pratique professionnelle à l’atelier ou sur chantier, de la compétence : </w:t>
      </w:r>
      <w:r w:rsidRPr="006862E7">
        <w:rPr>
          <w:sz w:val="20"/>
          <w:szCs w:val="20"/>
        </w:rPr>
        <w:t>FAÇONNER ET PLACER DES CONDUITES D’ÉVACUATION DES EAUX USÉES</w:t>
      </w:r>
    </w:p>
    <w:p w14:paraId="79E33074" w14:textId="77777777" w:rsidR="006862E7" w:rsidRDefault="006862E7" w:rsidP="001A575A">
      <w:pPr>
        <w:pStyle w:val="Titre3"/>
      </w:pPr>
      <w:r>
        <w:t>Communication des supports documentaires</w:t>
      </w:r>
    </w:p>
    <w:p w14:paraId="1BC6D438" w14:textId="77777777" w:rsidR="001A575A" w:rsidRDefault="001A575A" w:rsidP="001A575A">
      <w:pPr>
        <w:pStyle w:val="Paragraphedeliste"/>
        <w:numPr>
          <w:ilvl w:val="0"/>
          <w:numId w:val="3"/>
        </w:numPr>
      </w:pPr>
      <w:r w:rsidRPr="00B62D8E">
        <w:t>Comprendre l’évacuation des eaux de la maison</w:t>
      </w:r>
      <w:r>
        <w:t xml:space="preserve"> : </w:t>
      </w:r>
      <w:hyperlink r:id="rId10" w:history="1">
        <w:r w:rsidRPr="00C602B0">
          <w:rPr>
            <w:rStyle w:val="Lienhypertexte"/>
          </w:rPr>
          <w:t>https://www.castorama.fr/idees-et-conseils/l-evacuation-des-eaux-usees/CF_CC_npcart_100508.art</w:t>
        </w:r>
      </w:hyperlink>
    </w:p>
    <w:p w14:paraId="35C82869" w14:textId="77777777" w:rsidR="001A575A" w:rsidRPr="00BD01A4" w:rsidRDefault="001A575A" w:rsidP="001A575A">
      <w:pPr>
        <w:pStyle w:val="Paragraphedeliste"/>
        <w:numPr>
          <w:ilvl w:val="0"/>
          <w:numId w:val="3"/>
        </w:numPr>
        <w:rPr>
          <w:lang w:val="en-US"/>
        </w:rPr>
      </w:pPr>
      <w:r w:rsidRPr="00BD01A4">
        <w:rPr>
          <w:lang w:val="en-US"/>
        </w:rPr>
        <w:t xml:space="preserve">Nicoll </w:t>
      </w:r>
      <w:proofErr w:type="gramStart"/>
      <w:r w:rsidRPr="00BD01A4">
        <w:rPr>
          <w:lang w:val="en-US"/>
        </w:rPr>
        <w:t>PVC :</w:t>
      </w:r>
      <w:proofErr w:type="gramEnd"/>
      <w:r w:rsidRPr="00BD01A4">
        <w:rPr>
          <w:lang w:val="en-US"/>
        </w:rPr>
        <w:t xml:space="preserve"> </w:t>
      </w:r>
      <w:hyperlink r:id="rId11" w:history="1">
        <w:r w:rsidRPr="00BD01A4">
          <w:rPr>
            <w:rStyle w:val="Lienhypertexte"/>
            <w:lang w:val="en-US"/>
          </w:rPr>
          <w:t>https://www.nicoll.fr/fr/les-solutions-pour-linterieur/evacuation-des-eaux-usees</w:t>
        </w:r>
      </w:hyperlink>
    </w:p>
    <w:p w14:paraId="5AC3033C" w14:textId="77777777" w:rsidR="001A575A" w:rsidRDefault="001A575A" w:rsidP="001A575A">
      <w:pPr>
        <w:pStyle w:val="Paragraphedeliste"/>
        <w:numPr>
          <w:ilvl w:val="0"/>
          <w:numId w:val="3"/>
        </w:numPr>
      </w:pPr>
      <w:r w:rsidRPr="00B62D8E">
        <w:t>Réussir une évacuation en tube PVC</w:t>
      </w:r>
      <w:r>
        <w:t xml:space="preserve"> : </w:t>
      </w:r>
      <w:hyperlink r:id="rId12" w:history="1">
        <w:r w:rsidRPr="00C602B0">
          <w:rPr>
            <w:rStyle w:val="Lienhypertexte"/>
          </w:rPr>
          <w:t>https://www.youtube.com/watch?v=6Zas-EwTiOU</w:t>
        </w:r>
      </w:hyperlink>
    </w:p>
    <w:p w14:paraId="065FEC64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Pour aller plus loin PVC : </w:t>
      </w:r>
      <w:hyperlink r:id="rId13" w:history="1">
        <w:r w:rsidRPr="00C602B0">
          <w:rPr>
            <w:rStyle w:val="Lienhypertexte"/>
          </w:rPr>
          <w:t>https://www.buildingyourlearning.be/learningobject/4841/FR</w:t>
        </w:r>
      </w:hyperlink>
    </w:p>
    <w:p w14:paraId="28FC78C5" w14:textId="77777777" w:rsidR="001A575A" w:rsidRPr="00BD01A4" w:rsidRDefault="001A575A" w:rsidP="001A575A">
      <w:pPr>
        <w:pStyle w:val="Paragraphedeliste"/>
        <w:numPr>
          <w:ilvl w:val="0"/>
          <w:numId w:val="3"/>
        </w:numPr>
        <w:rPr>
          <w:lang w:val="nl-NL"/>
        </w:rPr>
      </w:pPr>
      <w:proofErr w:type="spellStart"/>
      <w:r w:rsidRPr="00BD01A4">
        <w:rPr>
          <w:lang w:val="nl-NL"/>
        </w:rPr>
        <w:t>Geberit</w:t>
      </w:r>
      <w:proofErr w:type="spellEnd"/>
      <w:r w:rsidRPr="00BD01A4">
        <w:rPr>
          <w:lang w:val="nl-NL"/>
        </w:rPr>
        <w:t xml:space="preserve"> </w:t>
      </w:r>
      <w:proofErr w:type="gramStart"/>
      <w:r w:rsidRPr="00BD01A4">
        <w:rPr>
          <w:lang w:val="nl-NL"/>
        </w:rPr>
        <w:t>PE :</w:t>
      </w:r>
      <w:proofErr w:type="gramEnd"/>
      <w:r w:rsidRPr="00BD01A4">
        <w:rPr>
          <w:lang w:val="nl-NL"/>
        </w:rPr>
        <w:t xml:space="preserve"> </w:t>
      </w:r>
      <w:hyperlink r:id="rId14" w:history="1">
        <w:r w:rsidRPr="00BD01A4">
          <w:rPr>
            <w:rStyle w:val="Lienhypertexte"/>
            <w:lang w:val="nl-NL"/>
          </w:rPr>
          <w:t>https://www.geberit.be/produits/systemes-d-evacuation/systemes-de-tuyauterie/geberit-pe/</w:t>
        </w:r>
      </w:hyperlink>
    </w:p>
    <w:p w14:paraId="78B1D922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>M</w:t>
      </w:r>
      <w:r w:rsidRPr="00B62D8E">
        <w:t xml:space="preserve">iroir </w:t>
      </w:r>
      <w:r>
        <w:t>à</w:t>
      </w:r>
      <w:r w:rsidRPr="00B62D8E">
        <w:t xml:space="preserve"> souder </w:t>
      </w:r>
      <w:proofErr w:type="spellStart"/>
      <w:r w:rsidRPr="00B62D8E">
        <w:t>Geberit</w:t>
      </w:r>
      <w:proofErr w:type="spellEnd"/>
      <w:r>
        <w:t xml:space="preserve"> : </w:t>
      </w:r>
      <w:hyperlink r:id="rId15" w:history="1">
        <w:r w:rsidRPr="00C602B0">
          <w:rPr>
            <w:rStyle w:val="Lienhypertexte"/>
          </w:rPr>
          <w:t>https://www.youtube.com/watch?v=XxjuOaIVwek</w:t>
        </w:r>
      </w:hyperlink>
      <w:r>
        <w:t xml:space="preserve">  </w:t>
      </w:r>
      <w:hyperlink r:id="rId16" w:history="1">
        <w:r w:rsidRPr="00C602B0">
          <w:rPr>
            <w:rStyle w:val="Lienhypertexte"/>
          </w:rPr>
          <w:t>https://www.youtube.com/watch?v=s1WN4VffdNc</w:t>
        </w:r>
      </w:hyperlink>
      <w:r>
        <w:t xml:space="preserve">  </w:t>
      </w:r>
      <w:hyperlink r:id="rId17" w:history="1">
        <w:r w:rsidRPr="00C602B0">
          <w:rPr>
            <w:rStyle w:val="Lienhypertexte"/>
          </w:rPr>
          <w:t>https://www.youtube.com/watch?v=wWDRWUtN-l4</w:t>
        </w:r>
      </w:hyperlink>
    </w:p>
    <w:p w14:paraId="59E3D6B3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Soudure </w:t>
      </w:r>
      <w:proofErr w:type="spellStart"/>
      <w:r>
        <w:t>Geberit</w:t>
      </w:r>
      <w:proofErr w:type="spellEnd"/>
      <w:r>
        <w:t xml:space="preserve"> manchon électrique : </w:t>
      </w:r>
      <w:hyperlink r:id="rId18" w:history="1">
        <w:r w:rsidRPr="00C602B0">
          <w:rPr>
            <w:rStyle w:val="Lienhypertexte"/>
          </w:rPr>
          <w:t>https://www.youtube.com/watch?v=DVxx136SE8A</w:t>
        </w:r>
      </w:hyperlink>
    </w:p>
    <w:p w14:paraId="14B079DB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Pour aller plus loin PE : </w:t>
      </w:r>
      <w:hyperlink r:id="rId19" w:history="1">
        <w:r w:rsidRPr="00C602B0">
          <w:rPr>
            <w:rStyle w:val="Lienhypertexte"/>
          </w:rPr>
          <w:t>https://www.buildingyourlearning.be/learningobject/869/FR</w:t>
        </w:r>
      </w:hyperlink>
    </w:p>
    <w:p w14:paraId="513F7E74" w14:textId="77777777" w:rsidR="006862E7" w:rsidRDefault="006862E7" w:rsidP="001A575A">
      <w:pPr>
        <w:pStyle w:val="Titre3"/>
      </w:pPr>
      <w:r>
        <w:t xml:space="preserve">Communication des </w:t>
      </w:r>
      <w:r w:rsidR="0049757B">
        <w:t>tâches à réaliser</w:t>
      </w:r>
    </w:p>
    <w:p w14:paraId="0BE31551" w14:textId="77777777" w:rsidR="006862E7" w:rsidRDefault="001A575A" w:rsidP="005F735E">
      <w:pPr>
        <w:pStyle w:val="Paragraphedeliste"/>
        <w:numPr>
          <w:ilvl w:val="0"/>
          <w:numId w:val="5"/>
        </w:numPr>
      </w:pPr>
      <w:r>
        <w:t>Visualisez le support documentaire 1</w:t>
      </w:r>
    </w:p>
    <w:p w14:paraId="21B56A7E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hyperlink r:id="rId20" w:history="1">
        <w:r w:rsidRPr="006B2820">
          <w:rPr>
            <w:rStyle w:val="Lienhypertexte"/>
          </w:rPr>
          <w:t>ici</w:t>
        </w:r>
      </w:hyperlink>
    </w:p>
    <w:p w14:paraId="47C321BD" w14:textId="77777777" w:rsidR="005F735E" w:rsidRDefault="005F735E" w:rsidP="005F735E">
      <w:pPr>
        <w:pStyle w:val="Paragraphedeliste"/>
        <w:numPr>
          <w:ilvl w:val="0"/>
          <w:numId w:val="5"/>
        </w:numPr>
      </w:pPr>
      <w:r>
        <w:t>Visualisez les supports documentaires 2 et 3</w:t>
      </w:r>
    </w:p>
    <w:p w14:paraId="23F231D1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r w:rsidR="0030589C">
        <w:t>(</w:t>
      </w:r>
      <w:r w:rsidRPr="0030589C">
        <w:rPr>
          <w:color w:val="4472C4" w:themeColor="accent1"/>
        </w:rPr>
        <w:t>ici</w:t>
      </w:r>
      <w:r w:rsidR="0030589C">
        <w:t>)</w:t>
      </w:r>
      <w:r>
        <w:t xml:space="preserve"> (</w:t>
      </w:r>
      <w:r w:rsidR="00B97D69">
        <w:t xml:space="preserve">Google </w:t>
      </w:r>
      <w:proofErr w:type="spellStart"/>
      <w:r w:rsidR="00B97D69">
        <w:t>Form</w:t>
      </w:r>
      <w:proofErr w:type="spellEnd"/>
      <w:r w:rsidR="00B97D69">
        <w:t xml:space="preserve"> ou autre questionnaire en ligne</w:t>
      </w:r>
      <w:r>
        <w:t>)</w:t>
      </w:r>
    </w:p>
    <w:p w14:paraId="1D6DF6D2" w14:textId="77777777" w:rsidR="005F735E" w:rsidRDefault="005F735E" w:rsidP="005F735E">
      <w:pPr>
        <w:pStyle w:val="Paragraphedeliste"/>
        <w:numPr>
          <w:ilvl w:val="0"/>
          <w:numId w:val="5"/>
        </w:numPr>
      </w:pPr>
      <w:r>
        <w:t>Visualisez les supports documentaires 5, 6 et 7</w:t>
      </w:r>
    </w:p>
    <w:p w14:paraId="1EA28C3D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r w:rsidR="0030589C">
        <w:t>(</w:t>
      </w:r>
      <w:r w:rsidRPr="0030589C">
        <w:rPr>
          <w:color w:val="4472C4" w:themeColor="accent1"/>
        </w:rPr>
        <w:t>ici</w:t>
      </w:r>
      <w:r w:rsidR="0030589C">
        <w:t>)</w:t>
      </w:r>
      <w:r>
        <w:t xml:space="preserve"> (</w:t>
      </w:r>
      <w:r w:rsidR="00B97D69">
        <w:t xml:space="preserve">Google </w:t>
      </w:r>
      <w:proofErr w:type="spellStart"/>
      <w:r w:rsidR="00B97D69">
        <w:t>Form</w:t>
      </w:r>
      <w:proofErr w:type="spellEnd"/>
      <w:r w:rsidR="00B97D69">
        <w:t xml:space="preserve"> ou autre questionnaire en ligne</w:t>
      </w:r>
      <w:r>
        <w:t>)</w:t>
      </w:r>
    </w:p>
    <w:p w14:paraId="5CEAD19B" w14:textId="77777777" w:rsidR="005F735E" w:rsidRDefault="00B97D69" w:rsidP="005F735E">
      <w:pPr>
        <w:pStyle w:val="Paragraphedeliste"/>
        <w:numPr>
          <w:ilvl w:val="0"/>
          <w:numId w:val="5"/>
        </w:numPr>
      </w:pPr>
      <w:r>
        <w:t xml:space="preserve">Téléchargez les documents des supports documentaires </w:t>
      </w:r>
      <w:r w:rsidR="00533F59">
        <w:t>4</w:t>
      </w:r>
      <w:r>
        <w:t xml:space="preserve"> et </w:t>
      </w:r>
      <w:r w:rsidR="00533F59">
        <w:t>8</w:t>
      </w:r>
      <w:r>
        <w:t xml:space="preserve"> et lisez-les attentivement</w:t>
      </w:r>
    </w:p>
    <w:p w14:paraId="37781228" w14:textId="77777777" w:rsidR="006862E7" w:rsidRDefault="006862E7" w:rsidP="005F735E">
      <w:pPr>
        <w:pStyle w:val="Titre3"/>
      </w:pPr>
      <w:r>
        <w:t>Communication des modalités pour la réalisation des tâches et la communication des productions</w:t>
      </w:r>
    </w:p>
    <w:p w14:paraId="145D631F" w14:textId="77777777" w:rsidR="00C11855" w:rsidRDefault="006862E7" w:rsidP="00C11855">
      <w:pPr>
        <w:pStyle w:val="Paragraphedeliste"/>
        <w:numPr>
          <w:ilvl w:val="0"/>
          <w:numId w:val="6"/>
        </w:numPr>
      </w:pPr>
      <w:r>
        <w:t xml:space="preserve">Le temps de réalisation des tâches </w:t>
      </w:r>
      <w:r w:rsidR="00B97D69">
        <w:t xml:space="preserve">1 à </w:t>
      </w:r>
      <w:r w:rsidR="00533F59">
        <w:t>3</w:t>
      </w:r>
      <w:r w:rsidR="00B97D69">
        <w:t xml:space="preserve"> </w:t>
      </w:r>
      <w:r>
        <w:t xml:space="preserve">est </w:t>
      </w:r>
      <w:r w:rsidR="000C396D">
        <w:t>de</w:t>
      </w:r>
      <w:r>
        <w:t xml:space="preserve"> </w:t>
      </w:r>
      <w:r w:rsidR="000C396D">
        <w:t>2</w:t>
      </w:r>
      <w:r>
        <w:t xml:space="preserve"> X 50 minutes</w:t>
      </w:r>
      <w:r w:rsidR="00B97D69">
        <w:t xml:space="preserve">, ce qui vous laisse, en moyenne, une période de </w:t>
      </w:r>
      <w:r w:rsidR="00533F59">
        <w:t>30</w:t>
      </w:r>
      <w:r w:rsidR="00B97D69">
        <w:t xml:space="preserve"> minutes par tâche.</w:t>
      </w:r>
    </w:p>
    <w:p w14:paraId="5DB066E4" w14:textId="77777777" w:rsidR="006862E7" w:rsidRDefault="00B97D69" w:rsidP="00C11855">
      <w:pPr>
        <w:pStyle w:val="Paragraphedeliste"/>
        <w:numPr>
          <w:ilvl w:val="0"/>
          <w:numId w:val="6"/>
        </w:numPr>
      </w:pPr>
      <w:r>
        <w:t xml:space="preserve">La tâche </w:t>
      </w:r>
      <w:r w:rsidR="00533F59">
        <w:t>4</w:t>
      </w:r>
      <w:r>
        <w:t xml:space="preserve"> sera à réaliser </w:t>
      </w:r>
      <w:r w:rsidR="000C396D">
        <w:t>plus tard, au titre de devoir</w:t>
      </w:r>
      <w:r>
        <w:t xml:space="preserve">. </w:t>
      </w:r>
      <w:r w:rsidRPr="00C11855">
        <w:rPr>
          <w:u w:val="single"/>
        </w:rPr>
        <w:t xml:space="preserve">Attention, ceci ne signifie pas qu’elle </w:t>
      </w:r>
      <w:r w:rsidR="00A4173A">
        <w:rPr>
          <w:u w:val="single"/>
        </w:rPr>
        <w:t>soit</w:t>
      </w:r>
      <w:r w:rsidRPr="00C11855">
        <w:rPr>
          <w:u w:val="single"/>
        </w:rPr>
        <w:t xml:space="preserve"> optionnelle !</w:t>
      </w:r>
    </w:p>
    <w:p w14:paraId="53680F5F" w14:textId="77777777" w:rsidR="00B917E6" w:rsidRDefault="00B25244" w:rsidP="00C11855">
      <w:pPr>
        <w:pStyle w:val="Paragraphedeliste"/>
        <w:numPr>
          <w:ilvl w:val="0"/>
          <w:numId w:val="6"/>
        </w:numPr>
      </w:pPr>
      <w:r>
        <w:t xml:space="preserve">Les tâches 1 à </w:t>
      </w:r>
      <w:r w:rsidR="00533F59">
        <w:t>3</w:t>
      </w:r>
      <w:r>
        <w:t xml:space="preserve"> seront à réaliser le (</w:t>
      </w:r>
      <w:r w:rsidRPr="0030589C">
        <w:rPr>
          <w:color w:val="4472C4" w:themeColor="accent1"/>
        </w:rPr>
        <w:t>date, heure</w:t>
      </w:r>
      <w:r>
        <w:t>)</w:t>
      </w:r>
      <w:r w:rsidR="006862E7">
        <w:t>.</w:t>
      </w:r>
    </w:p>
    <w:p w14:paraId="5A22817B" w14:textId="01092E94" w:rsidR="00B917E6" w:rsidRDefault="00B97D69" w:rsidP="00A4173A">
      <w:pPr>
        <w:spacing w:before="120"/>
      </w:pPr>
      <w:r>
        <w:t>Pendant ce temps d’apprentissage</w:t>
      </w:r>
      <w:r w:rsidR="0001731A">
        <w:t>s</w:t>
      </w:r>
      <w:r>
        <w:t xml:space="preserve">, votre professeur est disponible pour répondre </w:t>
      </w:r>
      <w:r w:rsidR="00533F59">
        <w:t xml:space="preserve">individuellement </w:t>
      </w:r>
      <w:r>
        <w:t>à vos questions ou difficultés</w:t>
      </w:r>
      <w:r w:rsidR="00533F59">
        <w:t xml:space="preserve"> ; au cas où ce serait nécessaire, vous </w:t>
      </w:r>
      <w:r w:rsidR="00B917E6" w:rsidRPr="0035142A">
        <w:t>envoy</w:t>
      </w:r>
      <w:r w:rsidR="00533F59">
        <w:t>ez</w:t>
      </w:r>
      <w:r w:rsidR="00B917E6" w:rsidRPr="0035142A">
        <w:t xml:space="preserve"> un mail </w:t>
      </w:r>
      <w:r w:rsidR="00B917E6">
        <w:t xml:space="preserve">à l’adresse </w:t>
      </w:r>
      <w:hyperlink r:id="rId21" w:history="1">
        <w:r w:rsidR="00B917E6" w:rsidRPr="00542AF3">
          <w:rPr>
            <w:rStyle w:val="Lienhypertexte"/>
          </w:rPr>
          <w:t>prof@ecole.be</w:t>
        </w:r>
      </w:hyperlink>
      <w:r w:rsidR="00B917E6">
        <w:t xml:space="preserve"> </w:t>
      </w:r>
      <w:r w:rsidR="00B917E6" w:rsidRPr="0035142A">
        <w:t xml:space="preserve">pour obtenir un </w:t>
      </w:r>
      <w:r w:rsidR="00B917E6">
        <w:t>rendez-vous</w:t>
      </w:r>
      <w:r w:rsidR="00533F59">
        <w:t xml:space="preserve"> et vous recevrez un lien qui vous permettra de vous connecter</w:t>
      </w:r>
      <w:r w:rsidR="00B917E6" w:rsidRPr="0035142A">
        <w:t>.</w:t>
      </w:r>
    </w:p>
    <w:p w14:paraId="78CE40F1" w14:textId="77777777" w:rsidR="006862E7" w:rsidRDefault="006862E7" w:rsidP="00B25244">
      <w:pPr>
        <w:pStyle w:val="Titre3"/>
      </w:pPr>
      <w:r>
        <w:t>Communication des modalités pour l'évaluation</w:t>
      </w:r>
    </w:p>
    <w:p w14:paraId="1B9E6805" w14:textId="77777777" w:rsidR="00B25244" w:rsidRDefault="00B25244" w:rsidP="00B917E6">
      <w:r>
        <w:t>L’évaluation des apprentissages se fera en ligne en suivant (</w:t>
      </w:r>
      <w:r w:rsidRPr="0058727B">
        <w:rPr>
          <w:color w:val="4472C4" w:themeColor="accent1"/>
        </w:rPr>
        <w:t>ce lien</w:t>
      </w:r>
      <w:r>
        <w:t>) qui ne sera actif que le (</w:t>
      </w:r>
      <w:r w:rsidRPr="0058727B">
        <w:rPr>
          <w:color w:val="4472C4" w:themeColor="accent1"/>
        </w:rPr>
        <w:t>date, heure</w:t>
      </w:r>
      <w:r>
        <w:t xml:space="preserve">) </w:t>
      </w:r>
      <w:r w:rsidR="00385F12">
        <w:t>pendant 20 minutes</w:t>
      </w:r>
      <w:r>
        <w:t>.</w:t>
      </w:r>
    </w:p>
    <w:p w14:paraId="27095512" w14:textId="0F24A240" w:rsidR="006862E7" w:rsidRDefault="00B25244" w:rsidP="00B917E6">
      <w:r>
        <w:lastRenderedPageBreak/>
        <w:t>Cette évaluation formative sera exploitée lors de la phase de structuration des apprentissages et notamment pour déterminer si une remédiation individualisée s’avère nécessaire avant de passer à l’apprentissage des gestes pratiques.</w:t>
      </w:r>
    </w:p>
    <w:p w14:paraId="2C11516E" w14:textId="77777777" w:rsidR="006862E7" w:rsidRDefault="006862E7" w:rsidP="000311EB">
      <w:pPr>
        <w:pStyle w:val="Titre2"/>
        <w:shd w:val="clear" w:color="auto" w:fill="FFE599" w:themeFill="accent4" w:themeFillTint="66"/>
      </w:pPr>
      <w:r w:rsidRPr="006862E7">
        <w:t xml:space="preserve">Temps 2 - </w:t>
      </w:r>
      <w:r w:rsidR="002D68E4">
        <w:t>S</w:t>
      </w:r>
      <w:r w:rsidRPr="006862E7">
        <w:t>ynchrone : réalisation individuelle de la tâche et accompagnement en ligne</w:t>
      </w:r>
    </w:p>
    <w:p w14:paraId="2F6DC426" w14:textId="77777777" w:rsidR="00385F12" w:rsidRPr="000311EB" w:rsidRDefault="00385F12" w:rsidP="00B917E6">
      <w:pPr>
        <w:rPr>
          <w:spacing w:val="-4"/>
        </w:rPr>
      </w:pPr>
      <w:r w:rsidRPr="000311EB">
        <w:rPr>
          <w:spacing w:val="-4"/>
        </w:rPr>
        <w:t xml:space="preserve">Les élèves consultent les supports documentaires et répondent aux questionnaires en ligne comme </w:t>
      </w:r>
      <w:r w:rsidR="002D68E4" w:rsidRPr="000311EB">
        <w:rPr>
          <w:spacing w:val="-4"/>
        </w:rPr>
        <w:t xml:space="preserve">il est </w:t>
      </w:r>
      <w:r w:rsidRPr="000311EB">
        <w:rPr>
          <w:spacing w:val="-4"/>
        </w:rPr>
        <w:t xml:space="preserve">détaillé au </w:t>
      </w:r>
      <w:r w:rsidR="00533F59" w:rsidRPr="000311EB">
        <w:rPr>
          <w:spacing w:val="-4"/>
        </w:rPr>
        <w:t>temps</w:t>
      </w:r>
      <w:r w:rsidRPr="000311EB">
        <w:rPr>
          <w:spacing w:val="-4"/>
        </w:rPr>
        <w:t xml:space="preserve"> 1.</w:t>
      </w:r>
      <w:r w:rsidR="00A4173A" w:rsidRPr="000311EB">
        <w:rPr>
          <w:spacing w:val="-4"/>
        </w:rPr>
        <w:t xml:space="preserve"> (2 X 50’)</w:t>
      </w:r>
    </w:p>
    <w:p w14:paraId="210AC1D2" w14:textId="77777777" w:rsidR="0035142A" w:rsidRPr="000311EB" w:rsidRDefault="0035142A" w:rsidP="00B917E6">
      <w:pPr>
        <w:rPr>
          <w:spacing w:val="-4"/>
        </w:rPr>
      </w:pPr>
      <w:r w:rsidRPr="000311EB">
        <w:rPr>
          <w:spacing w:val="-4"/>
        </w:rPr>
        <w:t>Pendant la réalisation de la tâche, l'enseignant est à disposition des élèves</w:t>
      </w:r>
      <w:r w:rsidR="00B917E6" w:rsidRPr="000311EB">
        <w:rPr>
          <w:spacing w:val="-4"/>
        </w:rPr>
        <w:t xml:space="preserve"> comme précisé au temps 1</w:t>
      </w:r>
      <w:r w:rsidRPr="000311EB">
        <w:rPr>
          <w:spacing w:val="-4"/>
        </w:rPr>
        <w:t>.</w:t>
      </w:r>
    </w:p>
    <w:p w14:paraId="34BA4ADD" w14:textId="77777777" w:rsidR="0035142A" w:rsidRPr="000311EB" w:rsidRDefault="0035142A" w:rsidP="00B917E6">
      <w:pPr>
        <w:rPr>
          <w:spacing w:val="-4"/>
        </w:rPr>
      </w:pPr>
      <w:r w:rsidRPr="000311EB">
        <w:rPr>
          <w:spacing w:val="-4"/>
        </w:rPr>
        <w:t>Le temps de tutorat permet d'expliciter des consignes, résoudre des difficultés liées à la manipulation des outils numériques...</w:t>
      </w:r>
    </w:p>
    <w:p w14:paraId="69D6D540" w14:textId="77777777" w:rsidR="0035142A" w:rsidRPr="000311EB" w:rsidRDefault="0035142A" w:rsidP="00B917E6">
      <w:pPr>
        <w:rPr>
          <w:spacing w:val="-4"/>
        </w:rPr>
      </w:pPr>
      <w:r w:rsidRPr="000311EB">
        <w:rPr>
          <w:spacing w:val="-4"/>
        </w:rPr>
        <w:t xml:space="preserve">Au terme </w:t>
      </w:r>
      <w:r w:rsidR="00B917E6" w:rsidRPr="000311EB">
        <w:rPr>
          <w:spacing w:val="-4"/>
        </w:rPr>
        <w:t>du temps 2</w:t>
      </w:r>
      <w:r w:rsidRPr="000311EB">
        <w:rPr>
          <w:spacing w:val="-4"/>
        </w:rPr>
        <w:t xml:space="preserve">, les élèves doivent </w:t>
      </w:r>
      <w:r w:rsidR="00B917E6" w:rsidRPr="000311EB">
        <w:rPr>
          <w:spacing w:val="-4"/>
        </w:rPr>
        <w:t xml:space="preserve">avoir </w:t>
      </w:r>
      <w:r w:rsidRPr="000311EB">
        <w:rPr>
          <w:spacing w:val="-4"/>
        </w:rPr>
        <w:t>envoy</w:t>
      </w:r>
      <w:r w:rsidR="00B917E6" w:rsidRPr="000311EB">
        <w:rPr>
          <w:spacing w:val="-4"/>
        </w:rPr>
        <w:t>é</w:t>
      </w:r>
      <w:r w:rsidRPr="000311EB">
        <w:rPr>
          <w:spacing w:val="-4"/>
        </w:rPr>
        <w:t xml:space="preserve"> leurs productions selon les modalités précisées </w:t>
      </w:r>
      <w:r w:rsidR="00B917E6" w:rsidRPr="000311EB">
        <w:rPr>
          <w:spacing w:val="-4"/>
        </w:rPr>
        <w:t>au</w:t>
      </w:r>
      <w:r w:rsidRPr="000311EB">
        <w:rPr>
          <w:spacing w:val="-4"/>
        </w:rPr>
        <w:t xml:space="preserve"> temps 1</w:t>
      </w:r>
      <w:r w:rsidR="000C396D" w:rsidRPr="000311EB">
        <w:rPr>
          <w:spacing w:val="-4"/>
        </w:rPr>
        <w:t xml:space="preserve"> ; l’enseignant communique alors </w:t>
      </w:r>
      <w:r w:rsidR="000C396D" w:rsidRPr="000311EB">
        <w:rPr>
          <w:color w:val="4472C4" w:themeColor="accent1"/>
          <w:spacing w:val="-4"/>
        </w:rPr>
        <w:t>(à l’adresse)</w:t>
      </w:r>
      <w:r w:rsidR="000C396D" w:rsidRPr="000311EB">
        <w:rPr>
          <w:spacing w:val="-4"/>
        </w:rPr>
        <w:t xml:space="preserve"> la grille d’évaluation des productions à chaque élève de manière à lui permettre de s’auto-évaluer ; l’enseignant reste à la disposition de ses élèves durant ce temps d’auto-évaluation.</w:t>
      </w:r>
      <w:r w:rsidR="00A4173A" w:rsidRPr="000311EB">
        <w:rPr>
          <w:spacing w:val="-4"/>
        </w:rPr>
        <w:t xml:space="preserve"> (30’)</w:t>
      </w:r>
    </w:p>
    <w:p w14:paraId="71BFF7B3" w14:textId="77777777" w:rsidR="006862E7" w:rsidRDefault="006862E7" w:rsidP="000311EB">
      <w:pPr>
        <w:pStyle w:val="Titre2"/>
        <w:shd w:val="clear" w:color="auto" w:fill="FFE599" w:themeFill="accent4" w:themeFillTint="66"/>
      </w:pPr>
      <w:r w:rsidRPr="006862E7">
        <w:t xml:space="preserve">Temps 3 – Synchrone ou asynchrone : </w:t>
      </w:r>
      <w:r w:rsidR="0049757B">
        <w:t>d</w:t>
      </w:r>
      <w:r w:rsidRPr="006862E7">
        <w:t>ispositif d'évaluation de la qualité des apprentissages</w:t>
      </w:r>
    </w:p>
    <w:p w14:paraId="6C8E8D1A" w14:textId="77777777" w:rsidR="00385F12" w:rsidRPr="00385F12" w:rsidRDefault="00385F12" w:rsidP="00385F12">
      <w:r>
        <w:t xml:space="preserve">Préalablement à l’évaluation en ligne, les élèves </w:t>
      </w:r>
      <w:r w:rsidR="000C396D">
        <w:t>ont reçu</w:t>
      </w:r>
      <w:r>
        <w:t xml:space="preserve"> un corrigé de leurs productions réalisées au temps 2</w:t>
      </w:r>
      <w:r w:rsidR="000C396D">
        <w:t xml:space="preserve"> et les ont auto-évaluées</w:t>
      </w:r>
      <w:r w:rsidRPr="00385F12">
        <w:t>.</w:t>
      </w:r>
    </w:p>
    <w:p w14:paraId="33C8210C" w14:textId="5AA87DDA" w:rsidR="00385F12" w:rsidRPr="00385F12" w:rsidRDefault="00385F12" w:rsidP="00385F12">
      <w:r w:rsidRPr="00385F12">
        <w:t xml:space="preserve">Au moment </w:t>
      </w:r>
      <w:r>
        <w:t xml:space="preserve">et en suivant le lien </w:t>
      </w:r>
      <w:r w:rsidRPr="00385F12">
        <w:t xml:space="preserve">communiqué </w:t>
      </w:r>
      <w:r>
        <w:t>au temps 1</w:t>
      </w:r>
      <w:r w:rsidRPr="00385F12">
        <w:t xml:space="preserve">, les élèves </w:t>
      </w:r>
      <w:r>
        <w:t>accèdent</w:t>
      </w:r>
      <w:r w:rsidRPr="00385F12">
        <w:t xml:space="preserve"> au </w:t>
      </w:r>
      <w:r>
        <w:t>questionnaire d’évaluation pendant le temps prévu et le complètent</w:t>
      </w:r>
      <w:r w:rsidRPr="00385F12">
        <w:t>.</w:t>
      </w:r>
      <w:r w:rsidR="00A4173A">
        <w:t xml:space="preserve"> (20’)</w:t>
      </w:r>
    </w:p>
    <w:p w14:paraId="1FA893EA" w14:textId="77777777" w:rsidR="006862E7" w:rsidRDefault="006862E7" w:rsidP="000311EB">
      <w:pPr>
        <w:pStyle w:val="Titre2"/>
        <w:shd w:val="clear" w:color="auto" w:fill="FFE599" w:themeFill="accent4" w:themeFillTint="66"/>
      </w:pPr>
      <w:r w:rsidRPr="006862E7">
        <w:t xml:space="preserve">Temps 4 - Synchrone : structuration des apprentissages – remédiation – consolidation </w:t>
      </w:r>
      <w:r>
        <w:t>–</w:t>
      </w:r>
      <w:r w:rsidRPr="006862E7">
        <w:t xml:space="preserve"> dépassement</w:t>
      </w:r>
    </w:p>
    <w:p w14:paraId="213F4795" w14:textId="77777777" w:rsidR="00A4173A" w:rsidRDefault="005D5EDE" w:rsidP="00A4173A">
      <w:r>
        <w:t>S</w:t>
      </w:r>
      <w:r w:rsidR="00A4173A" w:rsidRPr="00A4173A">
        <w:t xml:space="preserve">ur la base des scores </w:t>
      </w:r>
      <w:r w:rsidR="00A4173A">
        <w:t xml:space="preserve">de l’évaluation </w:t>
      </w:r>
      <w:r w:rsidR="00A4173A" w:rsidRPr="00A4173A">
        <w:t>et des évaluations des productions, la structuration est un moment pour fixer et/ou consolider les apprentissages visés</w:t>
      </w:r>
      <w:r w:rsidR="00A4173A">
        <w:t> ; c</w:t>
      </w:r>
      <w:r w:rsidR="00A4173A" w:rsidRPr="00A4173A">
        <w:t>ette structuration prend la forme qui est familière à l'enseignant (fiches, notes dans un cahier...)</w:t>
      </w:r>
      <w:r w:rsidR="00A4173A">
        <w:t>.</w:t>
      </w:r>
      <w:r w:rsidR="002D703D">
        <w:t xml:space="preserve"> Ne pas oublier les notes pour les élèves</w:t>
      </w:r>
      <w:r w:rsidR="0058727B">
        <w:t>.</w:t>
      </w:r>
    </w:p>
    <w:p w14:paraId="13A9F539" w14:textId="77777777" w:rsidR="005D5EDE" w:rsidRDefault="005D5EDE" w:rsidP="00A4173A">
      <w:r>
        <w:t>L</w:t>
      </w:r>
      <w:r w:rsidRPr="00385F12">
        <w:t xml:space="preserve">es élèves se retrouvent </w:t>
      </w:r>
      <w:r w:rsidR="00797A17">
        <w:t xml:space="preserve">sur la plateforme d’échanges plébiscitée </w:t>
      </w:r>
      <w:r w:rsidRPr="00385F12">
        <w:t xml:space="preserve">pour aborder </w:t>
      </w:r>
      <w:r>
        <w:t>l</w:t>
      </w:r>
      <w:r w:rsidRPr="00385F12">
        <w:t>e temps 4</w:t>
      </w:r>
      <w:r w:rsidR="0058727B">
        <w:t xml:space="preserve"> et reçoivent (</w:t>
      </w:r>
      <w:r w:rsidR="0058727B" w:rsidRPr="0058727B">
        <w:rPr>
          <w:color w:val="4472C4" w:themeColor="accent1"/>
        </w:rPr>
        <w:t>le lien</w:t>
      </w:r>
      <w:r w:rsidR="0058727B">
        <w:t>) leur permettant de télécharger les notes de cours</w:t>
      </w:r>
      <w:r w:rsidRPr="00385F12">
        <w:t>.</w:t>
      </w:r>
      <w:r>
        <w:t xml:space="preserve"> (30’)</w:t>
      </w:r>
    </w:p>
    <w:p w14:paraId="7A315A3B" w14:textId="77777777" w:rsidR="0049757B" w:rsidRPr="00A4173A" w:rsidRDefault="00A4173A" w:rsidP="00A4173A">
      <w:r>
        <w:t xml:space="preserve">En fonction des difficultés rencontrées par les élèves et </w:t>
      </w:r>
      <w:r w:rsidR="0049757B">
        <w:t>identifiées au terme des temps 2 et 3, une remédiation sera proposée aux élèves (</w:t>
      </w:r>
      <w:r w:rsidR="0049757B" w:rsidRPr="0058727B">
        <w:rPr>
          <w:color w:val="4472C4" w:themeColor="accent1"/>
        </w:rPr>
        <w:t>sous la forme de</w:t>
      </w:r>
      <w:r w:rsidR="0049757B">
        <w:t>)</w:t>
      </w:r>
      <w:r w:rsidR="005D5EDE">
        <w:t xml:space="preserve"> et (</w:t>
      </w:r>
      <w:r w:rsidR="005D5EDE" w:rsidRPr="0058727B">
        <w:rPr>
          <w:color w:val="4472C4" w:themeColor="accent1"/>
        </w:rPr>
        <w:t>selon les modalités</w:t>
      </w:r>
      <w:r w:rsidR="005D5EDE">
        <w:t>)</w:t>
      </w:r>
      <w:r w:rsidR="0049757B">
        <w:t> ;</w:t>
      </w:r>
      <w:r w:rsidR="005D5EDE">
        <w:t xml:space="preserve"> </w:t>
      </w:r>
      <w:r w:rsidR="0049757B">
        <w:br/>
      </w:r>
      <w:r w:rsidR="005D5EDE">
        <w:t>l</w:t>
      </w:r>
      <w:r w:rsidR="0049757B">
        <w:t>es élèves pour qui aucune difficulté particulière n’a été relevée se voient proposer des vidéos de « mauvaises pratiques » (</w:t>
      </w:r>
      <w:r w:rsidR="0049757B" w:rsidRPr="0058727B">
        <w:rPr>
          <w:color w:val="4472C4" w:themeColor="accent1"/>
        </w:rPr>
        <w:t>lien</w:t>
      </w:r>
      <w:r w:rsidR="0049757B">
        <w:t xml:space="preserve">) </w:t>
      </w:r>
      <w:r w:rsidR="00797A17">
        <w:t xml:space="preserve">et sont invités </w:t>
      </w:r>
      <w:r w:rsidR="0049757B">
        <w:t>à</w:t>
      </w:r>
      <w:r w:rsidR="00797A17">
        <w:t xml:space="preserve"> les</w:t>
      </w:r>
      <w:r w:rsidR="0049757B">
        <w:t xml:space="preserve"> critiquer et </w:t>
      </w:r>
      <w:r w:rsidR="00797A17">
        <w:t xml:space="preserve">/ou </w:t>
      </w:r>
      <w:r w:rsidR="0049757B">
        <w:t>disposent de temps</w:t>
      </w:r>
      <w:r w:rsidR="005D5EDE">
        <w:t xml:space="preserve"> complémentaire</w:t>
      </w:r>
      <w:r w:rsidR="0049757B">
        <w:t xml:space="preserve"> pour réaliser la tâche </w:t>
      </w:r>
      <w:r w:rsidR="00797A17">
        <w:t>4</w:t>
      </w:r>
      <w:r w:rsidR="0049757B">
        <w:t xml:space="preserve"> décrite au temps 1.</w:t>
      </w:r>
    </w:p>
    <w:p w14:paraId="525F710F" w14:textId="77777777" w:rsidR="0049757B" w:rsidRDefault="0049757B" w:rsidP="000311EB">
      <w:pPr>
        <w:pStyle w:val="Titre2"/>
        <w:shd w:val="clear" w:color="auto" w:fill="FFE599" w:themeFill="accent4" w:themeFillTint="66"/>
      </w:pPr>
      <w:r>
        <w:t xml:space="preserve">Temps 5 – En présentiel à l’atelier ou sur chantier : </w:t>
      </w:r>
      <w:r w:rsidR="005D5EDE">
        <w:t>apprentissages pratiques</w:t>
      </w:r>
    </w:p>
    <w:p w14:paraId="20DD2897" w14:textId="77777777" w:rsidR="009C0BE0" w:rsidRDefault="009C0BE0" w:rsidP="009C0BE0">
      <w:pPr>
        <w:pStyle w:val="Titre2"/>
      </w:pPr>
      <w:r>
        <w:t>Annexe</w:t>
      </w:r>
      <w:r w:rsidR="00E311C6">
        <w:t xml:space="preserve"> informative pour les enseignants</w:t>
      </w:r>
      <w:r>
        <w:t xml:space="preserve"> : </w:t>
      </w:r>
    </w:p>
    <w:p w14:paraId="5F6AEB2A" w14:textId="77777777" w:rsidR="009C0BE0" w:rsidRPr="00EC50AA" w:rsidRDefault="009C0BE0" w:rsidP="009C0BE0">
      <w:pPr>
        <w:pStyle w:val="Titre3"/>
      </w:pPr>
      <w:r w:rsidRPr="0035142A">
        <w:t>Productions</w:t>
      </w:r>
      <w:r w:rsidRPr="00EC50AA">
        <w:t xml:space="preserve"> attendues (en référence </w:t>
      </w:r>
      <w:r>
        <w:t xml:space="preserve">au </w:t>
      </w:r>
      <w:r w:rsidRPr="00EC50AA">
        <w:t>cadre d’évaluation) :</w:t>
      </w:r>
    </w:p>
    <w:p w14:paraId="23CCA0F2" w14:textId="77777777" w:rsidR="009C0BE0" w:rsidRDefault="009C0BE0" w:rsidP="009C0BE0">
      <w:pPr>
        <w:pStyle w:val="Paragraphedeliste"/>
        <w:numPr>
          <w:ilvl w:val="0"/>
          <w:numId w:val="1"/>
        </w:numPr>
      </w:pPr>
      <w:r>
        <w:t>Façonner, assembler des conduites d’évacuation des eaux usées en PE et PVC.</w:t>
      </w:r>
    </w:p>
    <w:p w14:paraId="7C4732F6" w14:textId="77777777" w:rsidR="009C0BE0" w:rsidRDefault="009C0BE0" w:rsidP="009C0BE0">
      <w:pPr>
        <w:pStyle w:val="Paragraphedeliste"/>
        <w:numPr>
          <w:ilvl w:val="0"/>
          <w:numId w:val="1"/>
        </w:numPr>
      </w:pPr>
      <w:r>
        <w:t>Poser les conduites d’évacuation et fixations.</w:t>
      </w:r>
    </w:p>
    <w:p w14:paraId="527AF968" w14:textId="77777777" w:rsidR="004F391E" w:rsidRDefault="004F391E" w:rsidP="004F391E"/>
    <w:p w14:paraId="559A588E" w14:textId="77777777" w:rsidR="000311EB" w:rsidRDefault="000311EB" w:rsidP="009C0BE0">
      <w:pPr>
        <w:pStyle w:val="Titre3"/>
      </w:pPr>
      <w:r>
        <w:br w:type="page"/>
      </w:r>
    </w:p>
    <w:p w14:paraId="52BEF64D" w14:textId="0260C60B" w:rsidR="009C0BE0" w:rsidRDefault="009C0BE0" w:rsidP="009C0BE0">
      <w:pPr>
        <w:pStyle w:val="Titre3"/>
      </w:pPr>
      <w:r>
        <w:lastRenderedPageBreak/>
        <w:t xml:space="preserve">Compétence travaillée, aptitudes et savoirs associés (en référence au programme </w:t>
      </w:r>
      <w:r w:rsidRPr="00473058">
        <w:t>D/2018/7362/3/05</w:t>
      </w:r>
      <w:r>
        <w:t>) :</w:t>
      </w:r>
    </w:p>
    <w:p w14:paraId="02FBDAEB" w14:textId="77777777" w:rsidR="009C0BE0" w:rsidRPr="00E311C6" w:rsidRDefault="004F391E" w:rsidP="009C0BE0">
      <w:pPr>
        <w:rPr>
          <w:i/>
          <w:iCs/>
        </w:rPr>
      </w:pPr>
      <w:r w:rsidRPr="00E311C6">
        <w:rPr>
          <w:i/>
          <w:iCs/>
        </w:rPr>
        <w:t xml:space="preserve">Note : </w:t>
      </w:r>
      <w:r w:rsidR="00E311C6">
        <w:rPr>
          <w:i/>
          <w:iCs/>
        </w:rPr>
        <w:t>les aptitudes et savoirs</w:t>
      </w:r>
      <w:r w:rsidRPr="00E311C6">
        <w:rPr>
          <w:i/>
          <w:iCs/>
        </w:rPr>
        <w:t xml:space="preserve"> grisé</w:t>
      </w:r>
      <w:r w:rsidR="00E311C6">
        <w:rPr>
          <w:i/>
          <w:iCs/>
        </w:rPr>
        <w:t>s</w:t>
      </w:r>
      <w:r w:rsidRPr="00E311C6">
        <w:rPr>
          <w:i/>
          <w:iCs/>
        </w:rPr>
        <w:t xml:space="preserve"> </w:t>
      </w:r>
      <w:r w:rsidR="00E311C6">
        <w:rPr>
          <w:i/>
          <w:iCs/>
        </w:rPr>
        <w:t>ne sont</w:t>
      </w:r>
      <w:r w:rsidRPr="00E311C6">
        <w:rPr>
          <w:i/>
          <w:iCs/>
        </w:rPr>
        <w:t xml:space="preserve"> pas travaill</w:t>
      </w:r>
      <w:r w:rsidR="00E311C6">
        <w:rPr>
          <w:i/>
          <w:iCs/>
        </w:rPr>
        <w:t>és</w:t>
      </w:r>
      <w:r w:rsidRPr="00E311C6">
        <w:rPr>
          <w:i/>
          <w:iCs/>
        </w:rPr>
        <w:t xml:space="preserve"> dans le cadre de cette séquence</w:t>
      </w:r>
      <w:r w:rsidR="00E311C6">
        <w:rPr>
          <w:i/>
          <w:iCs/>
        </w:rPr>
        <w:t>.</w:t>
      </w:r>
    </w:p>
    <w:p w14:paraId="130A0EEA" w14:textId="77777777" w:rsidR="009C0BE0" w:rsidRPr="009C0BE0" w:rsidRDefault="009C0BE0" w:rsidP="009C0B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C0BE0" w:rsidRPr="006862E7" w14:paraId="63CF8F97" w14:textId="77777777" w:rsidTr="002B3F5A">
        <w:tc>
          <w:tcPr>
            <w:tcW w:w="10060" w:type="dxa"/>
            <w:gridSpan w:val="2"/>
            <w:shd w:val="clear" w:color="auto" w:fill="DEEAF6" w:themeFill="accent5" w:themeFillTint="33"/>
          </w:tcPr>
          <w:p w14:paraId="03EADA91" w14:textId="2A9725EB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C.6.5. FAÇONNER ET PLACER DES CONDUITES D’ÉVACUATION DES EAUX USÉES</w:t>
            </w:r>
          </w:p>
        </w:tc>
      </w:tr>
      <w:tr w:rsidR="009C0BE0" w:rsidRPr="006862E7" w14:paraId="0A65ACA9" w14:textId="77777777" w:rsidTr="002B3F5A">
        <w:tc>
          <w:tcPr>
            <w:tcW w:w="10060" w:type="dxa"/>
            <w:gridSpan w:val="2"/>
            <w:shd w:val="clear" w:color="auto" w:fill="DEEAF6" w:themeFill="accent5" w:themeFillTint="33"/>
          </w:tcPr>
          <w:p w14:paraId="2CC4866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CHOISIR LES TUYAUX POUR LES CONDUITES CONFORMÉMENT AUX INSTRUCTIONS ET AU PLAN</w:t>
            </w:r>
          </w:p>
        </w:tc>
      </w:tr>
      <w:tr w:rsidR="009C0BE0" w:rsidRPr="006862E7" w14:paraId="7F6A1AEF" w14:textId="77777777" w:rsidTr="002B3F5A">
        <w:tc>
          <w:tcPr>
            <w:tcW w:w="4673" w:type="dxa"/>
            <w:shd w:val="clear" w:color="auto" w:fill="FFE599" w:themeFill="accent4" w:themeFillTint="66"/>
            <w:vAlign w:val="center"/>
          </w:tcPr>
          <w:p w14:paraId="799D978C" w14:textId="77777777" w:rsidR="009C0BE0" w:rsidRPr="006862E7" w:rsidRDefault="009C0BE0" w:rsidP="002B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Aptitudes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14:paraId="2DCBD2FE" w14:textId="77777777" w:rsidR="009C0BE0" w:rsidRPr="006862E7" w:rsidRDefault="009C0BE0" w:rsidP="002B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</w:t>
            </w:r>
          </w:p>
        </w:tc>
      </w:tr>
      <w:tr w:rsidR="009C0BE0" w:rsidRPr="006862E7" w14:paraId="1A100F70" w14:textId="77777777" w:rsidTr="00523AC9">
        <w:tc>
          <w:tcPr>
            <w:tcW w:w="4673" w:type="dxa"/>
          </w:tcPr>
          <w:p w14:paraId="249839AA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6.5.1.  Identifier et sélectionner les conduites d’évacuation des eaux usées conformément aux instructions et au plan. </w:t>
            </w:r>
          </w:p>
        </w:tc>
        <w:tc>
          <w:tcPr>
            <w:tcW w:w="5387" w:type="dxa"/>
          </w:tcPr>
          <w:p w14:paraId="7EE8E587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bookmarkStart w:id="0" w:name="_Hlk39762334"/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conduites d’évacuation des eaux usées :  </w:t>
            </w:r>
          </w:p>
          <w:p w14:paraId="47BA63C7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-  types, caractéristiques, qualités, défauts et utilisation ; </w:t>
            </w:r>
          </w:p>
          <w:p w14:paraId="5492AD5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-  ventilation primaire et secondaire. </w:t>
            </w:r>
            <w:bookmarkEnd w:id="0"/>
          </w:p>
        </w:tc>
      </w:tr>
      <w:tr w:rsidR="009C0BE0" w:rsidRPr="006862E7" w14:paraId="5A0D96D7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752CFDB2" w14:textId="77777777" w:rsidR="009C0BE0" w:rsidRPr="006862E7" w:rsidRDefault="009C0BE0" w:rsidP="00523AC9">
            <w:pPr>
              <w:rPr>
                <w:color w:val="D9D9D9" w:themeColor="background1" w:themeShade="D9"/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MESURER ET TRACER LES TUYAUX</w:t>
            </w:r>
          </w:p>
        </w:tc>
      </w:tr>
      <w:tr w:rsidR="009C0BE0" w:rsidRPr="006862E7" w14:paraId="3B1BA27D" w14:textId="77777777" w:rsidTr="00523AC9">
        <w:tc>
          <w:tcPr>
            <w:tcW w:w="4673" w:type="dxa"/>
          </w:tcPr>
          <w:p w14:paraId="566095A3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bookmarkStart w:id="1" w:name="_Hlk39762172"/>
            <w:r w:rsidRPr="006862E7">
              <w:rPr>
                <w:sz w:val="20"/>
                <w:szCs w:val="20"/>
              </w:rPr>
              <w:t xml:space="preserve">6.5.2.  Identifier les tuyaux. </w:t>
            </w:r>
          </w:p>
          <w:bookmarkEnd w:id="1"/>
          <w:p w14:paraId="52597EC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E311C6">
              <w:rPr>
                <w:sz w:val="20"/>
                <w:szCs w:val="20"/>
                <w:highlight w:val="lightGray"/>
              </w:rPr>
              <w:t>6.5.3.  Mesurer et tracer les tuyaux.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4E60AB92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outils de mesure de longueur et d’angles : types, identification, utilisation, caractéristiques, critères de bon état. </w:t>
            </w:r>
          </w:p>
          <w:p w14:paraId="6DA2EABC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unités de mesure. </w:t>
            </w:r>
          </w:p>
          <w:p w14:paraId="1E142150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méthodes de calcul en tuyauterie. </w:t>
            </w:r>
          </w:p>
          <w:p w14:paraId="054ECD03" w14:textId="77777777" w:rsidR="009C0BE0" w:rsidRPr="006862E7" w:rsidRDefault="009C0BE0" w:rsidP="00523AC9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outils de traçage : types, identification, utilisation, caractéristiques, critères de bon état.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</w:tr>
      <w:tr w:rsidR="009C0BE0" w:rsidRPr="006862E7" w14:paraId="523C0475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2E356A4E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COUPER LES TUYAUX AU MOYEN D ’ OUTILS APPROPRIÉS À LA NATURE DES MATIÈRES </w:t>
            </w:r>
          </w:p>
        </w:tc>
      </w:tr>
      <w:tr w:rsidR="009C0BE0" w:rsidRPr="006862E7" w14:paraId="15A9B36F" w14:textId="77777777" w:rsidTr="00523AC9">
        <w:tc>
          <w:tcPr>
            <w:tcW w:w="4673" w:type="dxa"/>
          </w:tcPr>
          <w:p w14:paraId="6383D957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6.5.4.  Sélectionner les outils de coupe appropriés. </w:t>
            </w:r>
          </w:p>
          <w:p w14:paraId="5435BA77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6.5.5.  Couper les tuyaux au moyen d’outils appropriés à la nature des matières. </w:t>
            </w:r>
          </w:p>
        </w:tc>
        <w:tc>
          <w:tcPr>
            <w:tcW w:w="5387" w:type="dxa"/>
          </w:tcPr>
          <w:p w14:paraId="2C3F5B98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outils de découpe (exemple : scies, à main, mécaniques, coupe-tubes, cisaille, coupe-tubes à guillotine, …) : types, identification, utilisation, caractéristiques, critères de bon état. </w:t>
            </w:r>
          </w:p>
        </w:tc>
      </w:tr>
      <w:tr w:rsidR="009C0BE0" w:rsidRPr="006862E7" w14:paraId="279C78BC" w14:textId="77777777" w:rsidTr="00523AC9">
        <w:tc>
          <w:tcPr>
            <w:tcW w:w="10060" w:type="dxa"/>
            <w:gridSpan w:val="2"/>
          </w:tcPr>
          <w:p w14:paraId="2A555B4E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CINTRER LES TUYAUX AU MOYEN D ’ OUTILS APPROPRIÉS À LA NATURE DES MATIÈRES </w:t>
            </w:r>
          </w:p>
        </w:tc>
      </w:tr>
      <w:tr w:rsidR="009C0BE0" w:rsidRPr="006862E7" w14:paraId="1E71A52E" w14:textId="77777777" w:rsidTr="00523AC9">
        <w:tc>
          <w:tcPr>
            <w:tcW w:w="4673" w:type="dxa"/>
          </w:tcPr>
          <w:p w14:paraId="38D07D05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6.5.6.  Sélectionner les outils/techniques appropriés de cintrage. </w:t>
            </w:r>
          </w:p>
          <w:p w14:paraId="3158EF8D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6.5.7.  Cintrer les tuyaux au moyen des outils et/ou techniques sélectionnés. </w:t>
            </w:r>
          </w:p>
        </w:tc>
        <w:tc>
          <w:tcPr>
            <w:tcW w:w="5387" w:type="dxa"/>
          </w:tcPr>
          <w:p w14:paraId="3BEAB9AF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techniques/outils de cintrage : types, identification, utilisation, caractéristiques, critères de bon état. </w:t>
            </w:r>
          </w:p>
          <w:p w14:paraId="36E230A9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cintrage à chaud.</w:t>
            </w:r>
          </w:p>
        </w:tc>
      </w:tr>
      <w:tr w:rsidR="009C0BE0" w:rsidRPr="006862E7" w14:paraId="430A2565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08DA8AC4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ASSURER LA FINITION DES TUYAUX (ÉBARBAGE, ÉBAVURAGE, CALIBRAGE, ...) AU MOYEN D ’ OUTILS APPROPRIÉS À LA NATURE DES MATIÈRES </w:t>
            </w:r>
          </w:p>
        </w:tc>
      </w:tr>
      <w:tr w:rsidR="009C0BE0" w:rsidRPr="006862E7" w14:paraId="6B729359" w14:textId="77777777" w:rsidTr="00523AC9">
        <w:tc>
          <w:tcPr>
            <w:tcW w:w="4673" w:type="dxa"/>
          </w:tcPr>
          <w:p w14:paraId="77496343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6.5.8.  Sélectionner les outils d’ébarbage, ébavurage, </w:t>
            </w:r>
            <w:proofErr w:type="gramStart"/>
            <w:r w:rsidRPr="006862E7">
              <w:rPr>
                <w:sz w:val="20"/>
                <w:szCs w:val="20"/>
              </w:rPr>
              <w:t>calibrage appropriés</w:t>
            </w:r>
            <w:proofErr w:type="gramEnd"/>
            <w:r w:rsidRPr="006862E7">
              <w:rPr>
                <w:sz w:val="20"/>
                <w:szCs w:val="20"/>
              </w:rPr>
              <w:t xml:space="preserve">. </w:t>
            </w:r>
          </w:p>
          <w:p w14:paraId="5571FDCB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6.5.9.  Ébarber, ébavurer, calibrer, … au moyen des outils choisis. </w:t>
            </w:r>
          </w:p>
        </w:tc>
        <w:tc>
          <w:tcPr>
            <w:tcW w:w="5387" w:type="dxa"/>
          </w:tcPr>
          <w:p w14:paraId="112249B6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outils d’ébarbage, ébavurage, calibrage (meuleuse d’angle, lime, papier à l’émeri, fraise, ébarboir, calibreuse, mandrin de calibrage) : types, identification, utilisation, caractéristiques, critères de bon état.</w:t>
            </w:r>
          </w:p>
        </w:tc>
      </w:tr>
      <w:tr w:rsidR="009C0BE0" w:rsidRPr="006862E7" w14:paraId="77C8BE01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258B9B1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FABRIQUER ET/OU MONTER DES JONCTIONS EN PRÉSENCE DE DIFFÉRENTS TYPES DE TUYAUX </w:t>
            </w:r>
          </w:p>
        </w:tc>
      </w:tr>
      <w:tr w:rsidR="009C0BE0" w:rsidRPr="006862E7" w14:paraId="307F76F9" w14:textId="77777777" w:rsidTr="00523AC9">
        <w:tc>
          <w:tcPr>
            <w:tcW w:w="4673" w:type="dxa"/>
          </w:tcPr>
          <w:p w14:paraId="6B2E1C9B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6.5.10.  Sélectionner les moyens de jonction appropriés. </w:t>
            </w:r>
          </w:p>
          <w:p w14:paraId="630C440B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6.5.11.  Sélectionner les outils appropriés. </w:t>
            </w:r>
          </w:p>
          <w:p w14:paraId="689B3CD3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6.5.12.  Utiliser les outils appropriés. </w:t>
            </w:r>
          </w:p>
          <w:p w14:paraId="26795AE6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6.5.13.  Monter les jonctions. </w:t>
            </w:r>
          </w:p>
          <w:p w14:paraId="18A0E0C8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6.5.14.  Raccorder les tuyaux.</w:t>
            </w:r>
          </w:p>
        </w:tc>
        <w:tc>
          <w:tcPr>
            <w:tcW w:w="5387" w:type="dxa"/>
          </w:tcPr>
          <w:p w14:paraId="6EDC071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jonctions : types, caractéristiques, domaine et conditions d’utilisation. </w:t>
            </w:r>
          </w:p>
          <w:p w14:paraId="0A09AEB1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outils : types, identification, utilisation, caractéristiques, critères de bon état. </w:t>
            </w:r>
          </w:p>
        </w:tc>
      </w:tr>
      <w:tr w:rsidR="009C0BE0" w:rsidRPr="006862E7" w14:paraId="2249F0A0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2503EA8D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RÉALISER LES RACCORDEMENTS AVEC, D'UNE PART, LA CONDUITE DE SERVICE ET, D'AUTRE PART, LES APPAREILS SANITAIRES</w:t>
            </w:r>
          </w:p>
        </w:tc>
      </w:tr>
      <w:tr w:rsidR="009C0BE0" w:rsidRPr="006862E7" w14:paraId="10495A18" w14:textId="77777777" w:rsidTr="00523AC9">
        <w:tc>
          <w:tcPr>
            <w:tcW w:w="4673" w:type="dxa"/>
          </w:tcPr>
          <w:p w14:paraId="09A0F5F5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6.5.15.  Sélectionner les moyens de raccordement appropriés. </w:t>
            </w:r>
          </w:p>
          <w:p w14:paraId="7F086495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6.5.16.  Raccorder les appareils sanitaires aux systèmes d’évacuation. </w:t>
            </w:r>
          </w:p>
          <w:p w14:paraId="0007AB4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E311C6">
              <w:rPr>
                <w:sz w:val="20"/>
                <w:szCs w:val="20"/>
                <w:highlight w:val="lightGray"/>
              </w:rPr>
              <w:t>6.5.17.  Raccorder les appareils sanitaires aux systèmes d’adduction d’eau.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4141B1A8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proofErr w:type="gramStart"/>
            <w:r w:rsidRPr="006862E7">
              <w:rPr>
                <w:sz w:val="20"/>
                <w:szCs w:val="20"/>
              </w:rPr>
              <w:t>▪  Les</w:t>
            </w:r>
            <w:proofErr w:type="gramEnd"/>
            <w:r w:rsidRPr="006862E7">
              <w:rPr>
                <w:sz w:val="20"/>
                <w:szCs w:val="20"/>
              </w:rPr>
              <w:t xml:space="preserve"> raccords : types, conditions d’utilisation et de mise en œuvre, outils spécifiques. </w:t>
            </w:r>
          </w:p>
        </w:tc>
      </w:tr>
      <w:tr w:rsidR="009C0BE0" w:rsidRPr="006862E7" w14:paraId="73938759" w14:textId="77777777" w:rsidTr="002B3F5A">
        <w:tc>
          <w:tcPr>
            <w:tcW w:w="10060" w:type="dxa"/>
            <w:gridSpan w:val="2"/>
            <w:shd w:val="clear" w:color="auto" w:fill="FFE599" w:themeFill="accent4" w:themeFillTint="66"/>
          </w:tcPr>
          <w:p w14:paraId="69120696" w14:textId="77777777" w:rsidR="009C0BE0" w:rsidRPr="002B3F5A" w:rsidRDefault="009C0BE0" w:rsidP="00523AC9">
            <w:pPr>
              <w:rPr>
                <w:sz w:val="20"/>
                <w:szCs w:val="20"/>
              </w:rPr>
            </w:pPr>
            <w:r w:rsidRPr="002B3F5A">
              <w:rPr>
                <w:sz w:val="20"/>
                <w:szCs w:val="20"/>
              </w:rPr>
              <w:t xml:space="preserve">UTILISER DIFFÉRENTS SYSTÈMES DE POMPAGE </w:t>
            </w:r>
          </w:p>
        </w:tc>
      </w:tr>
      <w:tr w:rsidR="009C0BE0" w:rsidRPr="006862E7" w14:paraId="1AEC0CCB" w14:textId="77777777" w:rsidTr="00523AC9">
        <w:tc>
          <w:tcPr>
            <w:tcW w:w="4673" w:type="dxa"/>
          </w:tcPr>
          <w:p w14:paraId="7DBC5FE2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6.5.18.  Utiliser les systèmes de pompage. </w:t>
            </w:r>
          </w:p>
        </w:tc>
        <w:tc>
          <w:tcPr>
            <w:tcW w:w="5387" w:type="dxa"/>
          </w:tcPr>
          <w:p w14:paraId="3EB7595D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E311C6">
              <w:rPr>
                <w:sz w:val="20"/>
                <w:szCs w:val="20"/>
                <w:highlight w:val="lightGray"/>
              </w:rPr>
              <w:t>▪  Les</w:t>
            </w:r>
            <w:proofErr w:type="gramEnd"/>
            <w:r w:rsidRPr="00E311C6">
              <w:rPr>
                <w:sz w:val="20"/>
                <w:szCs w:val="20"/>
                <w:highlight w:val="lightGray"/>
              </w:rPr>
              <w:t xml:space="preserve"> systèmes de pompage : types, caractéristiques, qualités et défauts et utilisation.</w:t>
            </w:r>
          </w:p>
        </w:tc>
      </w:tr>
    </w:tbl>
    <w:p w14:paraId="6CB39093" w14:textId="77777777" w:rsidR="009C0BE0" w:rsidRPr="009C0BE0" w:rsidRDefault="009C0BE0" w:rsidP="009C0BE0"/>
    <w:sectPr w:rsidR="009C0BE0" w:rsidRPr="009C0BE0" w:rsidSect="006862E7">
      <w:footerReference w:type="default" r:id="rId22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AD48" w14:textId="77777777" w:rsidR="006874B5" w:rsidRDefault="006874B5" w:rsidP="006874B5">
      <w:pPr>
        <w:spacing w:line="240" w:lineRule="auto"/>
      </w:pPr>
      <w:r>
        <w:separator/>
      </w:r>
    </w:p>
  </w:endnote>
  <w:endnote w:type="continuationSeparator" w:id="0">
    <w:p w14:paraId="5FEFFB4A" w14:textId="77777777" w:rsidR="006874B5" w:rsidRDefault="006874B5" w:rsidP="00687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087630"/>
      <w:docPartObj>
        <w:docPartGallery w:val="Page Numbers (Bottom of Page)"/>
        <w:docPartUnique/>
      </w:docPartObj>
    </w:sdtPr>
    <w:sdtContent>
      <w:sdt>
        <w:sdtPr>
          <w:id w:val="36866680"/>
          <w:docPartObj>
            <w:docPartGallery w:val="Page Numbers (Bottom of Page)"/>
            <w:docPartUnique/>
          </w:docPartObj>
        </w:sdtPr>
        <w:sdtContent>
          <w:p w14:paraId="6F0BB0B2" w14:textId="77777777" w:rsidR="006874B5" w:rsidRDefault="006874B5" w:rsidP="006874B5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F4E5B3" wp14:editId="5A1D05A7">
                  <wp:simplePos x="0" y="0"/>
                  <wp:positionH relativeFrom="margin">
                    <wp:posOffset>-692150</wp:posOffset>
                  </wp:positionH>
                  <wp:positionV relativeFrom="bottomMargin">
                    <wp:posOffset>103505</wp:posOffset>
                  </wp:positionV>
                  <wp:extent cx="723900" cy="4267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</w:sdtContent>
      </w:sdt>
      <w:p w14:paraId="2E869AFF" w14:textId="2B7B5AC4" w:rsidR="006874B5" w:rsidRDefault="006874B5" w:rsidP="006874B5">
        <w:pPr>
          <w:pStyle w:val="Pieddepage"/>
          <w:jc w:val="center"/>
        </w:pPr>
        <w:bookmarkStart w:id="2" w:name="_Hlk57206390"/>
        <w:bookmarkStart w:id="3" w:name="_Hlk57206389"/>
        <w:bookmarkStart w:id="4" w:name="_Hlk57206344"/>
        <w:bookmarkStart w:id="5" w:name="_Hlk57206343"/>
        <w:bookmarkStart w:id="6" w:name="_Hlk57111504"/>
        <w:bookmarkStart w:id="7" w:name="_Hlk57111503"/>
        <w:r>
          <w:rPr>
            <w:rFonts w:eastAsia="Carlito" w:cstheme="minorHAnsi"/>
            <w:sz w:val="20"/>
            <w:szCs w:val="20"/>
          </w:rPr>
          <w:t>Bois-Construction –</w:t>
        </w:r>
        <w:r w:rsidRPr="006874B5">
          <w:t xml:space="preserve"> </w:t>
        </w:r>
        <w:r w:rsidRPr="006874B5">
          <w:rPr>
            <w:rFonts w:eastAsia="Carlito" w:cstheme="minorHAnsi"/>
            <w:sz w:val="20"/>
            <w:szCs w:val="20"/>
          </w:rPr>
          <w:t>Monteur/Monteuse en chauffage et sanitaire</w:t>
        </w:r>
        <w:r>
          <w:rPr>
            <w:rFonts w:eastAsia="Carlito" w:cstheme="minorHAnsi"/>
            <w:sz w:val="20"/>
            <w:szCs w:val="20"/>
          </w:rPr>
          <w:t xml:space="preserve"> </w:t>
        </w:r>
        <w:r>
          <w:rPr>
            <w:rFonts w:eastAsia="Carlito" w:cstheme="minorHAnsi"/>
            <w:sz w:val="20"/>
            <w:szCs w:val="20"/>
          </w:rPr>
          <w:t>– Hybridation</w:t>
        </w:r>
      </w:p>
      <w:bookmarkEnd w:id="7" w:displacedByCustomXml="next"/>
      <w:bookmarkEnd w:id="6" w:displacedByCustomXml="next"/>
      <w:bookmarkEnd w:id="5" w:displacedByCustomXml="next"/>
      <w:bookmarkEnd w:id="4" w:displacedByCustomXml="next"/>
      <w:bookmarkEnd w:id="3" w:displacedByCustomXml="next"/>
      <w:bookmarkEnd w:id="2" w:displacedByCustomXml="next"/>
    </w:sdtContent>
  </w:sdt>
  <w:p w14:paraId="24132485" w14:textId="77777777" w:rsidR="006874B5" w:rsidRDefault="006874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7689" w14:textId="77777777" w:rsidR="006874B5" w:rsidRDefault="006874B5" w:rsidP="006874B5">
      <w:pPr>
        <w:spacing w:line="240" w:lineRule="auto"/>
      </w:pPr>
      <w:r>
        <w:separator/>
      </w:r>
    </w:p>
  </w:footnote>
  <w:footnote w:type="continuationSeparator" w:id="0">
    <w:p w14:paraId="5215AC1E" w14:textId="77777777" w:rsidR="006874B5" w:rsidRDefault="006874B5" w:rsidP="00687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150"/>
    <w:multiLevelType w:val="hybridMultilevel"/>
    <w:tmpl w:val="FEB05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7EA1"/>
    <w:multiLevelType w:val="hybridMultilevel"/>
    <w:tmpl w:val="4FCCD5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484"/>
    <w:multiLevelType w:val="hybridMultilevel"/>
    <w:tmpl w:val="C0449B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1451"/>
    <w:multiLevelType w:val="hybridMultilevel"/>
    <w:tmpl w:val="3EC687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4E9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0078D0"/>
    <w:multiLevelType w:val="hybridMultilevel"/>
    <w:tmpl w:val="1CD8D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14"/>
    <w:rsid w:val="00003308"/>
    <w:rsid w:val="0001731A"/>
    <w:rsid w:val="000311EB"/>
    <w:rsid w:val="00071D62"/>
    <w:rsid w:val="000C396D"/>
    <w:rsid w:val="001829B1"/>
    <w:rsid w:val="001A575A"/>
    <w:rsid w:val="001F1FBF"/>
    <w:rsid w:val="002B3F5A"/>
    <w:rsid w:val="002D68E4"/>
    <w:rsid w:val="002D703D"/>
    <w:rsid w:val="0030589C"/>
    <w:rsid w:val="003201B5"/>
    <w:rsid w:val="0035142A"/>
    <w:rsid w:val="00385F12"/>
    <w:rsid w:val="003B27AD"/>
    <w:rsid w:val="003C4B11"/>
    <w:rsid w:val="003F35D6"/>
    <w:rsid w:val="00413F02"/>
    <w:rsid w:val="00473058"/>
    <w:rsid w:val="0049757B"/>
    <w:rsid w:val="004F391E"/>
    <w:rsid w:val="00522ECB"/>
    <w:rsid w:val="00533F59"/>
    <w:rsid w:val="0058727B"/>
    <w:rsid w:val="005873B5"/>
    <w:rsid w:val="005A3C27"/>
    <w:rsid w:val="005B513B"/>
    <w:rsid w:val="005D5EDE"/>
    <w:rsid w:val="005F735E"/>
    <w:rsid w:val="00682BD9"/>
    <w:rsid w:val="006862E7"/>
    <w:rsid w:val="006874B5"/>
    <w:rsid w:val="006B2820"/>
    <w:rsid w:val="00797A17"/>
    <w:rsid w:val="009C0BE0"/>
    <w:rsid w:val="00A4173A"/>
    <w:rsid w:val="00A73014"/>
    <w:rsid w:val="00B25244"/>
    <w:rsid w:val="00B62D8E"/>
    <w:rsid w:val="00B917E6"/>
    <w:rsid w:val="00B97D69"/>
    <w:rsid w:val="00BD01A4"/>
    <w:rsid w:val="00C11855"/>
    <w:rsid w:val="00D13233"/>
    <w:rsid w:val="00DB2A94"/>
    <w:rsid w:val="00E311C6"/>
    <w:rsid w:val="00E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60BB"/>
  <w15:chartTrackingRefBased/>
  <w15:docId w15:val="{60046760-410D-4480-B102-AB33AF38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E6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1829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57B"/>
    <w:pPr>
      <w:keepNext/>
      <w:keepLines/>
      <w:spacing w:before="20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11C6"/>
    <w:pPr>
      <w:keepNext/>
      <w:keepLines/>
      <w:spacing w:before="180" w:after="12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D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2D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2A9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30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132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829B1"/>
    <w:rPr>
      <w:rFonts w:eastAsiaTheme="majorEastAsia" w:cstheme="majorBidi"/>
      <w:color w:val="2F5496" w:themeColor="accent1" w:themeShade="BF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757B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2E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E311C6"/>
    <w:rPr>
      <w:rFonts w:eastAsiaTheme="majorEastAsia" w:cstheme="majorBidi"/>
      <w:i/>
      <w:color w:val="1F3763" w:themeColor="accent1" w:themeShade="7F"/>
      <w:szCs w:val="24"/>
    </w:rPr>
  </w:style>
  <w:style w:type="paragraph" w:styleId="En-tte">
    <w:name w:val="header"/>
    <w:basedOn w:val="Normal"/>
    <w:link w:val="En-tteCar"/>
    <w:uiPriority w:val="99"/>
    <w:unhideWhenUsed/>
    <w:rsid w:val="006874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4B5"/>
  </w:style>
  <w:style w:type="paragraph" w:styleId="Pieddepage">
    <w:name w:val="footer"/>
    <w:basedOn w:val="Normal"/>
    <w:link w:val="PieddepageCar"/>
    <w:uiPriority w:val="99"/>
    <w:unhideWhenUsed/>
    <w:rsid w:val="006874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715">
          <w:marLeft w:val="0"/>
          <w:marRight w:val="0"/>
          <w:marTop w:val="24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08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6E091"/>
                <w:bottom w:val="none" w:sz="0" w:space="0" w:color="auto"/>
                <w:right w:val="none" w:sz="0" w:space="0" w:color="auto"/>
              </w:divBdr>
              <w:divsChild>
                <w:div w:id="210325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8889">
          <w:marLeft w:val="0"/>
          <w:marRight w:val="0"/>
          <w:marTop w:val="24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6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91B8E0"/>
                <w:bottom w:val="none" w:sz="0" w:space="0" w:color="auto"/>
                <w:right w:val="none" w:sz="0" w:space="0" w:color="auto"/>
              </w:divBdr>
              <w:divsChild>
                <w:div w:id="2109740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ildingyourlearning.be/learningobject/4841/FR" TargetMode="External"/><Relationship Id="rId18" Type="http://schemas.openxmlformats.org/officeDocument/2006/relationships/hyperlink" Target="https://www.youtube.com/watch?v=DVxx136SE8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of@ecole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6Zas-EwTiOU" TargetMode="External"/><Relationship Id="rId17" Type="http://schemas.openxmlformats.org/officeDocument/2006/relationships/hyperlink" Target="https://www.youtube.com/watch?v=wWDRWUtN-l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1WN4VffdNc" TargetMode="External"/><Relationship Id="rId20" Type="http://schemas.openxmlformats.org/officeDocument/2006/relationships/hyperlink" Target="https://forms.gle/2gYx1HPmcZTJLZVk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coll.fr/fr/les-solutions-pour-linterieur/evacuation-des-eaux-use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xjuOaIVwe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storama.fr/idees-et-conseils/l-evacuation-des-eaux-usees/CF_CC_npcart_100508.art" TargetMode="External"/><Relationship Id="rId19" Type="http://schemas.openxmlformats.org/officeDocument/2006/relationships/hyperlink" Target="https://www.buildingyourlearning.be/learningobject/869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berit.be/produits/systemes-d-evacuation/systemes-de-tuyauterie/geberit-p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33f42ae85cc79ee648d19172ab88563e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716d69db0733854080a363624bb98b94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7CB40-1D8E-4FCF-8C01-30257B97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088AA-38C6-4204-B71B-D8FCFD15D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87BA-0B30-4C23-9C3B-6C21434D3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1492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Guéry</dc:creator>
  <cp:keywords/>
  <dc:description/>
  <cp:lastModifiedBy>Chaufoureau Lorry</cp:lastModifiedBy>
  <cp:revision>21</cp:revision>
  <dcterms:created xsi:type="dcterms:W3CDTF">2020-05-07T06:34:00Z</dcterms:created>
  <dcterms:modified xsi:type="dcterms:W3CDTF">2021-01-28T14:17:00Z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