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01B5" w14:textId="70D216F5" w:rsidR="000308C8" w:rsidRPr="00816BCA" w:rsidRDefault="002157FF" w:rsidP="00772484">
      <w:pPr>
        <w:pStyle w:val="Titre1"/>
        <w:shd w:val="clear" w:color="auto" w:fill="DEEAF6" w:themeFill="accent5" w:themeFillTint="33"/>
      </w:pPr>
      <w:bookmarkStart w:id="0" w:name="_Hlk49948254"/>
      <w:r>
        <w:rPr>
          <w:rFonts w:cstheme="majorHAnsi"/>
        </w:rPr>
        <w:t>É</w:t>
      </w:r>
      <w:r w:rsidR="000308C8" w:rsidRPr="00816BCA">
        <w:t xml:space="preserve">ducation plastique – </w:t>
      </w:r>
      <w:r>
        <w:rPr>
          <w:rFonts w:cstheme="majorHAnsi"/>
        </w:rPr>
        <w:t>É</w:t>
      </w:r>
      <w:r w:rsidR="000308C8" w:rsidRPr="00816BCA">
        <w:t xml:space="preserve">ducation musicale </w:t>
      </w:r>
      <w:bookmarkEnd w:id="0"/>
      <w:r w:rsidR="000308C8" w:rsidRPr="00816BCA">
        <w:t>(D1)</w:t>
      </w:r>
    </w:p>
    <w:p w14:paraId="29FB7910" w14:textId="1519A816" w:rsidR="000308C8" w:rsidRPr="00816BCA" w:rsidRDefault="000308C8" w:rsidP="001B46D6">
      <w:pPr>
        <w:pStyle w:val="Titre2"/>
        <w:jc w:val="left"/>
      </w:pPr>
    </w:p>
    <w:p w14:paraId="0D687B8E" w14:textId="620CE26F" w:rsidR="00FB78C1" w:rsidRPr="000852E5" w:rsidRDefault="00FB78C1" w:rsidP="000308C8">
      <w:pPr>
        <w:rPr>
          <w:rFonts w:ascii="Corbel" w:hAnsi="Corbel"/>
          <w:b/>
          <w:sz w:val="28"/>
          <w:szCs w:val="28"/>
        </w:rPr>
      </w:pPr>
    </w:p>
    <w:p w14:paraId="673A6AA6" w14:textId="35F53F54" w:rsidR="005D48AE" w:rsidRPr="000852E5" w:rsidRDefault="001B46D6" w:rsidP="007F03D1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</w:t>
      </w:r>
      <w:r w:rsidR="004836CC" w:rsidRPr="000852E5">
        <w:rPr>
          <w:rFonts w:ascii="Corbel" w:hAnsi="Corbel"/>
          <w:sz w:val="20"/>
          <w:szCs w:val="20"/>
        </w:rPr>
        <w:t>tant donné les circonstances actuelles,</w:t>
      </w:r>
      <w:r w:rsidR="007F03D1" w:rsidRPr="000852E5">
        <w:rPr>
          <w:rFonts w:ascii="Corbel" w:hAnsi="Corbel"/>
          <w:sz w:val="20"/>
          <w:szCs w:val="20"/>
        </w:rPr>
        <w:t xml:space="preserve"> il est utile d’effectuer un </w:t>
      </w:r>
      <w:r w:rsidR="007F03D1" w:rsidRPr="000852E5">
        <w:rPr>
          <w:rFonts w:ascii="Corbel" w:hAnsi="Corbel"/>
          <w:b/>
          <w:sz w:val="20"/>
          <w:szCs w:val="20"/>
        </w:rPr>
        <w:t>regroupement de certaines compétences</w:t>
      </w:r>
      <w:r w:rsidR="007F03D1" w:rsidRPr="000852E5">
        <w:rPr>
          <w:rFonts w:ascii="Corbel" w:hAnsi="Corbel"/>
          <w:sz w:val="20"/>
          <w:szCs w:val="20"/>
        </w:rPr>
        <w:t xml:space="preserve"> afin de mettre en place les bases qui permett</w:t>
      </w:r>
      <w:r>
        <w:rPr>
          <w:rFonts w:ascii="Corbel" w:hAnsi="Corbel"/>
          <w:sz w:val="20"/>
          <w:szCs w:val="20"/>
        </w:rPr>
        <w:t>ent de couvrir les contenus</w:t>
      </w:r>
      <w:r w:rsidR="00095188">
        <w:rPr>
          <w:rFonts w:ascii="Corbel" w:hAnsi="Corbel"/>
          <w:sz w:val="20"/>
          <w:szCs w:val="20"/>
        </w:rPr>
        <w:t>.</w:t>
      </w:r>
      <w:r w:rsidR="00C87059">
        <w:rPr>
          <w:rFonts w:ascii="Corbel" w:hAnsi="Corbel"/>
          <w:sz w:val="20"/>
          <w:szCs w:val="20"/>
        </w:rPr>
        <w:t xml:space="preserve"> Le temps précieux passé en classe doit se concentrer sur la pratique </w:t>
      </w:r>
      <w:r w:rsidR="00A83F31">
        <w:rPr>
          <w:rFonts w:ascii="Corbel" w:hAnsi="Corbel"/>
          <w:sz w:val="20"/>
          <w:szCs w:val="20"/>
        </w:rPr>
        <w:t xml:space="preserve">et ne pas se perdre dans trop d’évaluations. </w:t>
      </w:r>
      <w:r w:rsidR="00095188">
        <w:rPr>
          <w:rFonts w:ascii="Corbel" w:hAnsi="Corbel"/>
          <w:sz w:val="20"/>
          <w:szCs w:val="20"/>
        </w:rPr>
        <w:t xml:space="preserve"> Cela permet en outre, en cas d’une éventuelle</w:t>
      </w:r>
      <w:r w:rsidR="007F03D1" w:rsidRPr="000852E5">
        <w:rPr>
          <w:rFonts w:ascii="Corbel" w:hAnsi="Corbel"/>
          <w:sz w:val="20"/>
          <w:szCs w:val="20"/>
        </w:rPr>
        <w:t xml:space="preserve"> alternance présence/distance, </w:t>
      </w:r>
      <w:r w:rsidR="00095188">
        <w:rPr>
          <w:rFonts w:ascii="Corbel" w:hAnsi="Corbel"/>
          <w:sz w:val="20"/>
          <w:szCs w:val="20"/>
        </w:rPr>
        <w:t xml:space="preserve">de </w:t>
      </w:r>
      <w:r w:rsidR="007F03D1" w:rsidRPr="000852E5">
        <w:rPr>
          <w:rFonts w:ascii="Corbel" w:hAnsi="Corbel"/>
          <w:sz w:val="20"/>
          <w:szCs w:val="20"/>
        </w:rPr>
        <w:t xml:space="preserve"> baliser au maximum</w:t>
      </w:r>
      <w:r w:rsidR="00CB66EB" w:rsidRPr="000852E5">
        <w:rPr>
          <w:rFonts w:ascii="Corbel" w:hAnsi="Corbel"/>
          <w:sz w:val="20"/>
          <w:szCs w:val="20"/>
        </w:rPr>
        <w:t xml:space="preserve"> ces bases lors de moments d’</w:t>
      </w:r>
      <w:r w:rsidR="007F03D1" w:rsidRPr="000852E5">
        <w:rPr>
          <w:rFonts w:ascii="Corbel" w:hAnsi="Corbel"/>
          <w:sz w:val="20"/>
          <w:szCs w:val="20"/>
        </w:rPr>
        <w:t xml:space="preserve">apprentissage en présentiel. </w:t>
      </w:r>
    </w:p>
    <w:p w14:paraId="71FD334D" w14:textId="7B8CC83A" w:rsidR="007F03D1" w:rsidRPr="000852E5" w:rsidRDefault="007F03D1" w:rsidP="007F03D1">
      <w:pPr>
        <w:rPr>
          <w:rFonts w:ascii="Corbel" w:hAnsi="Corbel"/>
          <w:sz w:val="20"/>
          <w:szCs w:val="20"/>
        </w:rPr>
      </w:pPr>
      <w:r w:rsidRPr="000852E5">
        <w:rPr>
          <w:rFonts w:ascii="Corbel" w:hAnsi="Corbel"/>
          <w:sz w:val="20"/>
          <w:szCs w:val="20"/>
        </w:rPr>
        <w:t xml:space="preserve">Ces regroupements </w:t>
      </w:r>
      <w:r w:rsidRPr="000852E5">
        <w:rPr>
          <w:rFonts w:ascii="Corbel" w:hAnsi="Corbel"/>
          <w:b/>
          <w:sz w:val="20"/>
          <w:szCs w:val="20"/>
        </w:rPr>
        <w:t>peuvent varier selon les sujets et travaux envisagés</w:t>
      </w:r>
      <w:r w:rsidRPr="000852E5">
        <w:rPr>
          <w:rFonts w:ascii="Corbel" w:hAnsi="Corbel"/>
          <w:sz w:val="20"/>
          <w:szCs w:val="20"/>
        </w:rPr>
        <w:t xml:space="preserve"> mais en voici </w:t>
      </w:r>
      <w:r w:rsidRPr="000852E5">
        <w:rPr>
          <w:rFonts w:ascii="Corbel" w:hAnsi="Corbel"/>
          <w:b/>
          <w:sz w:val="20"/>
          <w:szCs w:val="20"/>
        </w:rPr>
        <w:t>quelques exemples</w:t>
      </w:r>
      <w:r w:rsidR="00CB66EB" w:rsidRPr="000852E5">
        <w:rPr>
          <w:rFonts w:ascii="Corbel" w:hAnsi="Corbel"/>
          <w:b/>
          <w:sz w:val="20"/>
          <w:szCs w:val="20"/>
        </w:rPr>
        <w:t>,</w:t>
      </w:r>
      <w:r w:rsidR="00965AE0" w:rsidRPr="000852E5">
        <w:rPr>
          <w:rFonts w:ascii="Corbel" w:hAnsi="Corbel"/>
          <w:b/>
          <w:sz w:val="20"/>
          <w:szCs w:val="20"/>
        </w:rPr>
        <w:t xml:space="preserve"> </w:t>
      </w:r>
      <w:r w:rsidR="00965AE0" w:rsidRPr="000852E5">
        <w:rPr>
          <w:rFonts w:ascii="Corbel" w:hAnsi="Corbel"/>
          <w:sz w:val="20"/>
          <w:szCs w:val="20"/>
        </w:rPr>
        <w:t>non figés</w:t>
      </w:r>
      <w:r w:rsidR="00B43528">
        <w:rPr>
          <w:rFonts w:ascii="Corbel" w:hAnsi="Corbel"/>
          <w:sz w:val="20"/>
          <w:szCs w:val="20"/>
        </w:rPr>
        <w:t>. L</w:t>
      </w:r>
      <w:r w:rsidR="009C134E" w:rsidRPr="000852E5">
        <w:rPr>
          <w:rFonts w:ascii="Corbel" w:hAnsi="Corbel"/>
          <w:sz w:val="20"/>
          <w:szCs w:val="20"/>
        </w:rPr>
        <w:t>a planification</w:t>
      </w:r>
      <w:r w:rsidR="00D35424" w:rsidRPr="000852E5">
        <w:rPr>
          <w:rFonts w:ascii="Corbel" w:hAnsi="Corbel"/>
          <w:sz w:val="20"/>
          <w:szCs w:val="20"/>
        </w:rPr>
        <w:t xml:space="preserve"> et</w:t>
      </w:r>
      <w:r w:rsidR="005C3897">
        <w:rPr>
          <w:rFonts w:ascii="Corbel" w:hAnsi="Corbel"/>
          <w:sz w:val="20"/>
          <w:szCs w:val="20"/>
        </w:rPr>
        <w:t xml:space="preserve"> </w:t>
      </w:r>
      <w:r w:rsidR="00D35424" w:rsidRPr="000852E5">
        <w:rPr>
          <w:rFonts w:ascii="Corbel" w:hAnsi="Corbel"/>
          <w:sz w:val="20"/>
          <w:szCs w:val="20"/>
        </w:rPr>
        <w:t>les regroupements cho</w:t>
      </w:r>
      <w:r w:rsidR="00CB66EB" w:rsidRPr="000852E5">
        <w:rPr>
          <w:rFonts w:ascii="Corbel" w:hAnsi="Corbel"/>
          <w:sz w:val="20"/>
          <w:szCs w:val="20"/>
        </w:rPr>
        <w:t>i</w:t>
      </w:r>
      <w:r w:rsidR="00D35424" w:rsidRPr="000852E5">
        <w:rPr>
          <w:rFonts w:ascii="Corbel" w:hAnsi="Corbel"/>
          <w:sz w:val="20"/>
          <w:szCs w:val="20"/>
        </w:rPr>
        <w:t>sis</w:t>
      </w:r>
      <w:r w:rsidR="009C134E" w:rsidRPr="000852E5">
        <w:rPr>
          <w:rFonts w:ascii="Corbel" w:hAnsi="Corbel"/>
          <w:sz w:val="20"/>
          <w:szCs w:val="20"/>
        </w:rPr>
        <w:t xml:space="preserve"> rest</w:t>
      </w:r>
      <w:r w:rsidR="00414E6A" w:rsidRPr="000852E5">
        <w:rPr>
          <w:rFonts w:ascii="Corbel" w:hAnsi="Corbel"/>
          <w:sz w:val="20"/>
          <w:szCs w:val="20"/>
        </w:rPr>
        <w:t>e</w:t>
      </w:r>
      <w:r w:rsidR="009C134E" w:rsidRPr="000852E5">
        <w:rPr>
          <w:rFonts w:ascii="Corbel" w:hAnsi="Corbel"/>
          <w:sz w:val="20"/>
          <w:szCs w:val="20"/>
        </w:rPr>
        <w:t>nt du ressort de l’enseignant et des équipes.</w:t>
      </w:r>
      <w:r w:rsidR="00403EC2" w:rsidRPr="000852E5">
        <w:rPr>
          <w:rFonts w:ascii="Corbel" w:hAnsi="Corbel"/>
          <w:sz w:val="20"/>
          <w:szCs w:val="20"/>
        </w:rPr>
        <w:t xml:space="preserve"> </w:t>
      </w:r>
    </w:p>
    <w:p w14:paraId="2F601B67" w14:textId="655E3D03" w:rsidR="000308C8" w:rsidRDefault="000308C8" w:rsidP="000308C8"/>
    <w:p w14:paraId="6B577AB9" w14:textId="160BF4DC" w:rsidR="00C87059" w:rsidRDefault="00C87059" w:rsidP="000308C8"/>
    <w:p w14:paraId="63BD53E4" w14:textId="77777777" w:rsidR="00C87059" w:rsidRDefault="00C87059" w:rsidP="000308C8"/>
    <w:tbl>
      <w:tblPr>
        <w:tblStyle w:val="TableauGrille4-Accentuation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"/>
        <w:gridCol w:w="1938"/>
        <w:gridCol w:w="4117"/>
        <w:gridCol w:w="2256"/>
      </w:tblGrid>
      <w:tr w:rsidR="000308C8" w:rsidRPr="005C3897" w14:paraId="333DB539" w14:textId="77777777" w:rsidTr="001B4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4E602687" w14:textId="77777777" w:rsidR="000308C8" w:rsidRPr="005C3897" w:rsidRDefault="000308C8" w:rsidP="001B46D6">
            <w:pPr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Degré</w:t>
            </w:r>
          </w:p>
        </w:tc>
        <w:tc>
          <w:tcPr>
            <w:tcW w:w="1938" w:type="dxa"/>
          </w:tcPr>
          <w:p w14:paraId="59B2F8C3" w14:textId="77777777" w:rsidR="000308C8" w:rsidRPr="005C3897" w:rsidRDefault="000308C8" w:rsidP="001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Intitulé du programme</w:t>
            </w:r>
          </w:p>
        </w:tc>
        <w:tc>
          <w:tcPr>
            <w:tcW w:w="4117" w:type="dxa"/>
          </w:tcPr>
          <w:p w14:paraId="41FE2403" w14:textId="3101E602" w:rsidR="000308C8" w:rsidRPr="005C3897" w:rsidRDefault="009001B4" w:rsidP="001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Regroupements possibles</w:t>
            </w:r>
          </w:p>
        </w:tc>
        <w:tc>
          <w:tcPr>
            <w:tcW w:w="2256" w:type="dxa"/>
          </w:tcPr>
          <w:p w14:paraId="4DB85264" w14:textId="082A39BC" w:rsidR="000308C8" w:rsidRPr="005C3897" w:rsidRDefault="000308C8" w:rsidP="001B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Référence dans le programme</w:t>
            </w:r>
          </w:p>
        </w:tc>
      </w:tr>
      <w:tr w:rsidR="000308C8" w:rsidRPr="005C3897" w14:paraId="0411C63F" w14:textId="77777777" w:rsidTr="001B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615E1EF3" w14:textId="77777777" w:rsidR="000308C8" w:rsidRPr="005C3897" w:rsidRDefault="000308C8" w:rsidP="001B46D6">
            <w:pPr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D1</w:t>
            </w:r>
          </w:p>
        </w:tc>
        <w:tc>
          <w:tcPr>
            <w:tcW w:w="1938" w:type="dxa"/>
          </w:tcPr>
          <w:p w14:paraId="72D648E9" w14:textId="77777777" w:rsidR="000308C8" w:rsidRPr="005C3897" w:rsidRDefault="000308C8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  <w:highlight w:val="cyan"/>
              </w:rPr>
              <w:t>Education plastique</w:t>
            </w:r>
            <w:r w:rsidRPr="005C3897">
              <w:rPr>
                <w:rFonts w:ascii="Corbel" w:hAnsi="Corbel"/>
                <w:sz w:val="20"/>
                <w:szCs w:val="20"/>
              </w:rPr>
              <w:t> </w:t>
            </w:r>
          </w:p>
          <w:p w14:paraId="21B7FD6B" w14:textId="77777777" w:rsidR="000308C8" w:rsidRPr="005C3897" w:rsidRDefault="000308C8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17" w:type="dxa"/>
          </w:tcPr>
          <w:p w14:paraId="764D13A9" w14:textId="106BCAA5" w:rsidR="00CD34AF" w:rsidRPr="005C3897" w:rsidRDefault="00F12FC5" w:rsidP="001B46D6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Mettre en association rapide la compétence 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percevoir et différencier les formes</w:t>
            </w:r>
            <w:r w:rsidRPr="005C3897">
              <w:rPr>
                <w:rFonts w:ascii="Corbel" w:hAnsi="Corbel"/>
                <w:sz w:val="20"/>
                <w:szCs w:val="20"/>
              </w:rPr>
              <w:t> » et « </w:t>
            </w:r>
            <w:r w:rsidR="00B734D6" w:rsidRPr="005C3897">
              <w:rPr>
                <w:rFonts w:ascii="Corbel" w:hAnsi="Corbel"/>
                <w:i/>
                <w:sz w:val="20"/>
                <w:szCs w:val="20"/>
              </w:rPr>
              <w:t>associer des éléments pour créer des volumes</w:t>
            </w:r>
            <w:r w:rsidR="00B734D6" w:rsidRPr="005C3897">
              <w:rPr>
                <w:rFonts w:ascii="Corbel" w:hAnsi="Corbel"/>
                <w:sz w:val="20"/>
                <w:szCs w:val="20"/>
              </w:rPr>
              <w:t> »</w:t>
            </w:r>
            <w:r w:rsidR="00D35424" w:rsidRPr="005C3897">
              <w:rPr>
                <w:rFonts w:ascii="Corbel" w:hAnsi="Corbel"/>
                <w:sz w:val="20"/>
                <w:szCs w:val="20"/>
              </w:rPr>
              <w:t xml:space="preserve"> (ne pas passer trop de temps à la différenciation des formes sa</w:t>
            </w:r>
            <w:r w:rsidR="0095772B" w:rsidRPr="005C3897">
              <w:rPr>
                <w:rFonts w:ascii="Corbel" w:hAnsi="Corbel"/>
                <w:sz w:val="20"/>
                <w:szCs w:val="20"/>
              </w:rPr>
              <w:t>ns</w:t>
            </w:r>
            <w:r w:rsidR="00D35424" w:rsidRPr="005C3897">
              <w:rPr>
                <w:rFonts w:ascii="Corbel" w:hAnsi="Corbel"/>
                <w:sz w:val="20"/>
                <w:szCs w:val="20"/>
              </w:rPr>
              <w:t xml:space="preserve"> en faire quelque chose)</w:t>
            </w:r>
          </w:p>
          <w:p w14:paraId="02B71217" w14:textId="77777777" w:rsidR="00403EC2" w:rsidRPr="005C3897" w:rsidRDefault="00403EC2" w:rsidP="001B46D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3CE07CFF" w14:textId="1BB4DE35" w:rsidR="00403EC2" w:rsidRPr="005C3897" w:rsidRDefault="00403EC2" w:rsidP="001B46D6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Identifier et nommer les couleurs</w:t>
            </w:r>
            <w:r w:rsidRPr="005C3897">
              <w:rPr>
                <w:rFonts w:ascii="Corbel" w:hAnsi="Corbel"/>
                <w:sz w:val="20"/>
                <w:szCs w:val="20"/>
              </w:rPr>
              <w:t> », 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classer des productions graphiques d’après leurs degrés de clarté et d’obscurité</w:t>
            </w:r>
            <w:r w:rsidRPr="005C3897">
              <w:rPr>
                <w:rFonts w:ascii="Corbel" w:hAnsi="Corbel"/>
                <w:sz w:val="20"/>
                <w:szCs w:val="20"/>
              </w:rPr>
              <w:t> »</w:t>
            </w:r>
            <w:r w:rsidR="0051274B" w:rsidRPr="005C3897">
              <w:rPr>
                <w:rFonts w:ascii="Corbel" w:hAnsi="Corbel"/>
                <w:sz w:val="20"/>
                <w:szCs w:val="20"/>
              </w:rPr>
              <w:t>,</w:t>
            </w:r>
            <w:r w:rsidRPr="005C3897">
              <w:rPr>
                <w:rFonts w:ascii="Corbel" w:hAnsi="Corbel"/>
                <w:sz w:val="20"/>
                <w:szCs w:val="20"/>
              </w:rPr>
              <w:t xml:space="preserve"> 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caractériser les harmonies monochromes et polychromes</w:t>
            </w:r>
            <w:r w:rsidRPr="005C3897">
              <w:rPr>
                <w:rFonts w:ascii="Corbel" w:hAnsi="Corbel"/>
                <w:sz w:val="20"/>
                <w:szCs w:val="20"/>
              </w:rPr>
              <w:t xml:space="preserve"> » </w:t>
            </w:r>
            <w:r w:rsidR="0051274B" w:rsidRPr="005C3897">
              <w:rPr>
                <w:rFonts w:ascii="Corbel" w:hAnsi="Corbel"/>
                <w:sz w:val="20"/>
                <w:szCs w:val="20"/>
              </w:rPr>
              <w:t>et « </w:t>
            </w:r>
            <w:r w:rsidR="0051274B" w:rsidRPr="005C3897">
              <w:rPr>
                <w:rFonts w:ascii="Corbel" w:hAnsi="Corbel"/>
                <w:i/>
                <w:sz w:val="20"/>
                <w:szCs w:val="20"/>
              </w:rPr>
              <w:t>composer des harmonies</w:t>
            </w:r>
            <w:r w:rsidR="0051274B" w:rsidRPr="005C3897">
              <w:rPr>
                <w:rFonts w:ascii="Corbel" w:hAnsi="Corbel"/>
                <w:sz w:val="20"/>
                <w:szCs w:val="20"/>
              </w:rPr>
              <w:t> »</w:t>
            </w:r>
            <w:r w:rsidR="00591426" w:rsidRPr="005C3897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C3897">
              <w:rPr>
                <w:rFonts w:ascii="Corbel" w:hAnsi="Corbel"/>
                <w:sz w:val="20"/>
                <w:szCs w:val="20"/>
              </w:rPr>
              <w:t>peuvent être activées lors d’une même activité</w:t>
            </w:r>
          </w:p>
          <w:p w14:paraId="4100D2A5" w14:textId="579DDDA1" w:rsidR="00F42C5C" w:rsidRPr="005C3897" w:rsidRDefault="00F42C5C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5E4C5396" w14:textId="7CE34F5B" w:rsidR="00F42C5C" w:rsidRPr="005C3897" w:rsidRDefault="00F42C5C" w:rsidP="001B46D6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D</w:t>
            </w:r>
            <w:r w:rsidR="00BB420C" w:rsidRPr="005C3897">
              <w:rPr>
                <w:rFonts w:ascii="Corbel" w:hAnsi="Corbel"/>
                <w:i/>
                <w:sz w:val="20"/>
                <w:szCs w:val="20"/>
              </w:rPr>
              <w:t>é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crire et comparer des productions d’artistes</w:t>
            </w:r>
            <w:r w:rsidR="00BB420C" w:rsidRPr="005C3897">
              <w:rPr>
                <w:rFonts w:ascii="Corbel" w:hAnsi="Corbel"/>
                <w:sz w:val="20"/>
                <w:szCs w:val="20"/>
              </w:rPr>
              <w:t> », « </w:t>
            </w:r>
            <w:r w:rsidR="00BB420C" w:rsidRPr="005C3897">
              <w:rPr>
                <w:rFonts w:ascii="Corbel" w:hAnsi="Corbel"/>
                <w:i/>
                <w:sz w:val="20"/>
                <w:szCs w:val="20"/>
              </w:rPr>
              <w:t>identifier des modes d’expression et des tech</w:t>
            </w:r>
            <w:r w:rsidR="00F414B5" w:rsidRPr="005C3897">
              <w:rPr>
                <w:rFonts w:ascii="Corbel" w:hAnsi="Corbel"/>
                <w:i/>
                <w:sz w:val="20"/>
                <w:szCs w:val="20"/>
              </w:rPr>
              <w:t>niqu</w:t>
            </w:r>
            <w:r w:rsidR="00BB420C" w:rsidRPr="005C3897">
              <w:rPr>
                <w:rFonts w:ascii="Corbel" w:hAnsi="Corbel"/>
                <w:i/>
                <w:sz w:val="20"/>
                <w:szCs w:val="20"/>
              </w:rPr>
              <w:t>es d’exécution »</w:t>
            </w:r>
            <w:r w:rsidR="00E145AD" w:rsidRPr="005C3897">
              <w:rPr>
                <w:rFonts w:ascii="Corbel" w:hAnsi="Corbel"/>
                <w:i/>
                <w:sz w:val="20"/>
                <w:szCs w:val="20"/>
              </w:rPr>
              <w:t>,</w:t>
            </w:r>
            <w:r w:rsidR="00E145AD" w:rsidRPr="005C3897">
              <w:rPr>
                <w:rFonts w:ascii="Corbel" w:hAnsi="Corbel"/>
                <w:sz w:val="20"/>
                <w:szCs w:val="20"/>
              </w:rPr>
              <w:t xml:space="preserve"> </w:t>
            </w:r>
            <w:r w:rsidR="00F414B5" w:rsidRPr="005C3897">
              <w:rPr>
                <w:rFonts w:ascii="Corbel" w:hAnsi="Corbel"/>
                <w:sz w:val="20"/>
                <w:szCs w:val="20"/>
              </w:rPr>
              <w:t>« </w:t>
            </w:r>
            <w:r w:rsidR="00F414B5" w:rsidRPr="005C3897">
              <w:rPr>
                <w:rFonts w:ascii="Corbel" w:hAnsi="Corbel"/>
                <w:i/>
                <w:sz w:val="20"/>
                <w:szCs w:val="20"/>
              </w:rPr>
              <w:t>situer une œuvre dans son contexte historique et culturel</w:t>
            </w:r>
            <w:r w:rsidR="00F414B5" w:rsidRPr="005C3897">
              <w:rPr>
                <w:rFonts w:ascii="Corbel" w:hAnsi="Corbel"/>
                <w:sz w:val="20"/>
                <w:szCs w:val="20"/>
              </w:rPr>
              <w:t xml:space="preserve"> » </w:t>
            </w:r>
            <w:r w:rsidR="00201ECB" w:rsidRPr="005C3897">
              <w:rPr>
                <w:rFonts w:ascii="Corbel" w:hAnsi="Corbel"/>
                <w:sz w:val="20"/>
                <w:szCs w:val="20"/>
              </w:rPr>
              <w:t>peuvent être activées lors d’un même exercice de recherche ou d’analyse</w:t>
            </w:r>
            <w:r w:rsidR="005F6A85" w:rsidRPr="005C3897">
              <w:rPr>
                <w:rFonts w:ascii="Corbel" w:hAnsi="Corbel"/>
                <w:sz w:val="20"/>
                <w:szCs w:val="20"/>
              </w:rPr>
              <w:t>, ou</w:t>
            </w:r>
            <w:r w:rsidR="00D14C43" w:rsidRPr="005C3897">
              <w:rPr>
                <w:rFonts w:ascii="Corbel" w:hAnsi="Corbel"/>
                <w:sz w:val="20"/>
                <w:szCs w:val="20"/>
              </w:rPr>
              <w:t xml:space="preserve"> alors</w:t>
            </w:r>
            <w:r w:rsidR="005F6A85" w:rsidRPr="005C3897">
              <w:rPr>
                <w:rFonts w:ascii="Corbel" w:hAnsi="Corbel"/>
                <w:sz w:val="20"/>
                <w:szCs w:val="20"/>
              </w:rPr>
              <w:t xml:space="preserve"> considéré</w:t>
            </w:r>
            <w:r w:rsidR="00145E50">
              <w:rPr>
                <w:rFonts w:ascii="Corbel" w:hAnsi="Corbel"/>
                <w:sz w:val="20"/>
                <w:szCs w:val="20"/>
              </w:rPr>
              <w:t>e</w:t>
            </w:r>
            <w:r w:rsidR="005F6A85" w:rsidRPr="005C3897">
              <w:rPr>
                <w:rFonts w:ascii="Corbel" w:hAnsi="Corbel"/>
                <w:sz w:val="20"/>
                <w:szCs w:val="20"/>
              </w:rPr>
              <w:t>s comme des incontournables</w:t>
            </w:r>
            <w:r w:rsidR="00D14C43" w:rsidRPr="005C3897">
              <w:rPr>
                <w:rFonts w:ascii="Corbel" w:hAnsi="Corbel"/>
                <w:sz w:val="20"/>
                <w:szCs w:val="20"/>
              </w:rPr>
              <w:t>,</w:t>
            </w:r>
            <w:r w:rsidR="005F6A85" w:rsidRPr="005C3897">
              <w:rPr>
                <w:rFonts w:ascii="Corbel" w:hAnsi="Corbel"/>
                <w:sz w:val="20"/>
                <w:szCs w:val="20"/>
              </w:rPr>
              <w:t xml:space="preserve"> </w:t>
            </w:r>
            <w:r w:rsidR="0013776F" w:rsidRPr="005C3897">
              <w:rPr>
                <w:rFonts w:ascii="Corbel" w:hAnsi="Corbel"/>
                <w:sz w:val="20"/>
                <w:szCs w:val="20"/>
              </w:rPr>
              <w:t xml:space="preserve">automatisés </w:t>
            </w:r>
            <w:r w:rsidR="005F6A85" w:rsidRPr="005C3897">
              <w:rPr>
                <w:rFonts w:ascii="Corbel" w:hAnsi="Corbel"/>
                <w:sz w:val="20"/>
                <w:szCs w:val="20"/>
              </w:rPr>
              <w:t xml:space="preserve">à chaque fois que l’on aborde </w:t>
            </w:r>
            <w:r w:rsidR="000C4311" w:rsidRPr="005C3897">
              <w:rPr>
                <w:rFonts w:ascii="Corbel" w:hAnsi="Corbel"/>
                <w:sz w:val="20"/>
                <w:szCs w:val="20"/>
              </w:rPr>
              <w:t>une nouvelle activité (cadrage de celle-ci, « carte d’identité », référence</w:t>
            </w:r>
            <w:r w:rsidR="00D14C43" w:rsidRPr="005C3897">
              <w:rPr>
                <w:rFonts w:ascii="Corbel" w:hAnsi="Corbel"/>
                <w:sz w:val="20"/>
                <w:szCs w:val="20"/>
              </w:rPr>
              <w:t>s</w:t>
            </w:r>
            <w:r w:rsidR="0013776F" w:rsidRPr="005C3897">
              <w:rPr>
                <w:rFonts w:ascii="Corbel" w:hAnsi="Corbel"/>
                <w:sz w:val="20"/>
                <w:szCs w:val="20"/>
              </w:rPr>
              <w:t>)</w:t>
            </w:r>
          </w:p>
          <w:p w14:paraId="4AE0684D" w14:textId="1E0E3B8D" w:rsidR="0013776F" w:rsidRPr="005C3897" w:rsidRDefault="0013776F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230F4114" w14:textId="56F58869" w:rsidR="0013776F" w:rsidRPr="005C3897" w:rsidRDefault="002826F9" w:rsidP="001B46D6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Liens possibles dans une mêm</w:t>
            </w:r>
            <w:r w:rsidR="004A0E07" w:rsidRPr="005C3897">
              <w:rPr>
                <w:rFonts w:ascii="Corbel" w:hAnsi="Corbel"/>
                <w:sz w:val="20"/>
                <w:szCs w:val="20"/>
              </w:rPr>
              <w:t>e</w:t>
            </w:r>
            <w:r w:rsidRPr="005C3897">
              <w:rPr>
                <w:rFonts w:ascii="Corbel" w:hAnsi="Corbel"/>
                <w:sz w:val="20"/>
                <w:szCs w:val="20"/>
              </w:rPr>
              <w:t xml:space="preserve"> ac</w:t>
            </w:r>
            <w:r w:rsidR="004A0E07" w:rsidRPr="005C3897">
              <w:rPr>
                <w:rFonts w:ascii="Corbel" w:hAnsi="Corbel"/>
                <w:sz w:val="20"/>
                <w:szCs w:val="20"/>
              </w:rPr>
              <w:t>t</w:t>
            </w:r>
            <w:r w:rsidRPr="005C3897">
              <w:rPr>
                <w:rFonts w:ascii="Corbel" w:hAnsi="Corbel"/>
                <w:sz w:val="20"/>
                <w:szCs w:val="20"/>
              </w:rPr>
              <w:t>iv</w:t>
            </w:r>
            <w:r w:rsidR="004A0E07" w:rsidRPr="005C3897">
              <w:rPr>
                <w:rFonts w:ascii="Corbel" w:hAnsi="Corbel"/>
                <w:sz w:val="20"/>
                <w:szCs w:val="20"/>
              </w:rPr>
              <w:t>ité entre</w:t>
            </w:r>
            <w:r w:rsidR="00084B1B">
              <w:rPr>
                <w:rFonts w:ascii="Corbel" w:hAnsi="Corbel"/>
                <w:sz w:val="20"/>
                <w:szCs w:val="20"/>
              </w:rPr>
              <w:t xml:space="preserve"> </w:t>
            </w:r>
            <w:r w:rsidR="0013776F" w:rsidRPr="005C3897">
              <w:rPr>
                <w:rFonts w:ascii="Corbel" w:hAnsi="Corbel"/>
                <w:sz w:val="20"/>
                <w:szCs w:val="20"/>
              </w:rPr>
              <w:t xml:space="preserve">: </w:t>
            </w:r>
            <w:r w:rsidR="00414E6A" w:rsidRPr="005C3897">
              <w:rPr>
                <w:rFonts w:ascii="Corbel" w:hAnsi="Corbel"/>
                <w:sz w:val="20"/>
                <w:szCs w:val="20"/>
              </w:rPr>
              <w:t>« </w:t>
            </w:r>
            <w:r w:rsidR="00414E6A" w:rsidRPr="005C3897">
              <w:rPr>
                <w:rFonts w:ascii="Corbel" w:hAnsi="Corbel"/>
                <w:i/>
                <w:sz w:val="20"/>
                <w:szCs w:val="20"/>
              </w:rPr>
              <w:t>situer un objet dans un espace donné</w:t>
            </w:r>
            <w:r w:rsidR="00E67E12" w:rsidRPr="005C3897">
              <w:rPr>
                <w:rFonts w:ascii="Corbel" w:hAnsi="Corbel"/>
                <w:sz w:val="20"/>
                <w:szCs w:val="20"/>
              </w:rPr>
              <w:t> »</w:t>
            </w:r>
            <w:r w:rsidR="004A0E07" w:rsidRPr="005C3897">
              <w:rPr>
                <w:rFonts w:ascii="Corbel" w:hAnsi="Corbel"/>
                <w:sz w:val="20"/>
                <w:szCs w:val="20"/>
              </w:rPr>
              <w:t>, « </w:t>
            </w:r>
            <w:r w:rsidR="004A0E07" w:rsidRPr="005C3897">
              <w:rPr>
                <w:rFonts w:ascii="Corbel" w:hAnsi="Corbel"/>
                <w:i/>
                <w:sz w:val="20"/>
                <w:szCs w:val="20"/>
              </w:rPr>
              <w:t>adapter sa production au format</w:t>
            </w:r>
            <w:r w:rsidR="004A0E07" w:rsidRPr="005C3897">
              <w:rPr>
                <w:rFonts w:ascii="Corbel" w:hAnsi="Corbel"/>
                <w:sz w:val="20"/>
                <w:szCs w:val="20"/>
              </w:rPr>
              <w:t xml:space="preserve"> », </w:t>
            </w:r>
            <w:r w:rsidR="00965AE0" w:rsidRPr="005C3897">
              <w:rPr>
                <w:rFonts w:ascii="Corbel" w:hAnsi="Corbel"/>
                <w:sz w:val="20"/>
                <w:szCs w:val="20"/>
              </w:rPr>
              <w:t>« </w:t>
            </w:r>
            <w:r w:rsidR="00965AE0" w:rsidRPr="005C3897">
              <w:rPr>
                <w:rFonts w:ascii="Corbel" w:hAnsi="Corbel"/>
                <w:i/>
                <w:sz w:val="20"/>
                <w:szCs w:val="20"/>
              </w:rPr>
              <w:t>représenter en deux dimensions des objets</w:t>
            </w:r>
            <w:r w:rsidR="00965AE0" w:rsidRPr="005C3897">
              <w:rPr>
                <w:rFonts w:ascii="Corbel" w:hAnsi="Corbel"/>
                <w:sz w:val="20"/>
                <w:szCs w:val="20"/>
              </w:rPr>
              <w:t xml:space="preserve"> », </w:t>
            </w:r>
            <w:r w:rsidR="00DB7688" w:rsidRPr="005C3897">
              <w:rPr>
                <w:rFonts w:ascii="Corbel" w:hAnsi="Corbel"/>
                <w:sz w:val="20"/>
                <w:szCs w:val="20"/>
              </w:rPr>
              <w:t>« </w:t>
            </w:r>
            <w:r w:rsidR="00DB7688" w:rsidRPr="00145E50">
              <w:rPr>
                <w:rFonts w:ascii="Corbel" w:hAnsi="Corbel"/>
                <w:i/>
                <w:sz w:val="20"/>
                <w:szCs w:val="20"/>
              </w:rPr>
              <w:t xml:space="preserve">organiser un espace en composant des éléments et en </w:t>
            </w:r>
            <w:bookmarkStart w:id="1" w:name="_GoBack"/>
            <w:bookmarkEnd w:id="1"/>
            <w:r w:rsidR="00DB7688" w:rsidRPr="00145E50">
              <w:rPr>
                <w:rFonts w:ascii="Corbel" w:hAnsi="Corbel"/>
                <w:i/>
                <w:sz w:val="20"/>
                <w:szCs w:val="20"/>
              </w:rPr>
              <w:t>respectant les règles d’équilibre</w:t>
            </w:r>
            <w:r w:rsidR="0095772B" w:rsidRPr="005C3897">
              <w:rPr>
                <w:rFonts w:ascii="Corbel" w:hAnsi="Corbel"/>
                <w:sz w:val="20"/>
                <w:szCs w:val="20"/>
              </w:rPr>
              <w:t> »</w:t>
            </w:r>
            <w:r w:rsidR="00965AE0" w:rsidRPr="005C3897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37A3C469" w14:textId="77777777" w:rsidR="001C5A57" w:rsidRPr="006F330A" w:rsidRDefault="001C5A57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3372012C" w14:textId="7377A791" w:rsidR="001C5A57" w:rsidRPr="005C3897" w:rsidRDefault="001C5A57" w:rsidP="001B46D6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lastRenderedPageBreak/>
              <w:t>….</w:t>
            </w:r>
          </w:p>
          <w:p w14:paraId="1C888CF4" w14:textId="007CBD96" w:rsidR="00B734D6" w:rsidRPr="005C3897" w:rsidRDefault="00B734D6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726CB586" w14:textId="05F82AA4" w:rsidR="00B734D6" w:rsidRPr="005C3897" w:rsidRDefault="00B734D6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F7CDC07" w14:textId="77777777" w:rsidR="000308C8" w:rsidRPr="005C3897" w:rsidRDefault="000308C8" w:rsidP="001B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lastRenderedPageBreak/>
              <w:t>Tableau des compétences, p. 14</w:t>
            </w:r>
          </w:p>
        </w:tc>
      </w:tr>
      <w:tr w:rsidR="000308C8" w:rsidRPr="005C3897" w14:paraId="1E0B58D0" w14:textId="77777777" w:rsidTr="001B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shd w:val="clear" w:color="auto" w:fill="C5E0B3" w:themeFill="accent6" w:themeFillTint="66"/>
          </w:tcPr>
          <w:p w14:paraId="38EF203A" w14:textId="5BF8E5F2" w:rsidR="000308C8" w:rsidRPr="005C3897" w:rsidRDefault="009001B4" w:rsidP="001B46D6">
            <w:pPr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D1</w:t>
            </w:r>
          </w:p>
        </w:tc>
        <w:tc>
          <w:tcPr>
            <w:tcW w:w="1938" w:type="dxa"/>
            <w:shd w:val="clear" w:color="auto" w:fill="C5E0B3" w:themeFill="accent6" w:themeFillTint="66"/>
          </w:tcPr>
          <w:p w14:paraId="48B41388" w14:textId="77777777" w:rsidR="000308C8" w:rsidRPr="005C3897" w:rsidRDefault="000308C8" w:rsidP="001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  <w:highlight w:val="green"/>
              </w:rPr>
            </w:pPr>
            <w:r w:rsidRPr="005C3897">
              <w:rPr>
                <w:rFonts w:ascii="Corbel" w:hAnsi="Corbel"/>
                <w:sz w:val="20"/>
                <w:szCs w:val="20"/>
                <w:highlight w:val="green"/>
              </w:rPr>
              <w:t>Education musicale </w:t>
            </w:r>
          </w:p>
          <w:p w14:paraId="3F5E26AB" w14:textId="77777777" w:rsidR="000308C8" w:rsidRPr="005C3897" w:rsidRDefault="000308C8" w:rsidP="001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  <w:highlight w:val="green"/>
              </w:rPr>
            </w:pPr>
          </w:p>
        </w:tc>
        <w:tc>
          <w:tcPr>
            <w:tcW w:w="4117" w:type="dxa"/>
            <w:shd w:val="clear" w:color="auto" w:fill="C5E0B3" w:themeFill="accent6" w:themeFillTint="66"/>
          </w:tcPr>
          <w:p w14:paraId="71B02388" w14:textId="247EF6F1" w:rsidR="000308C8" w:rsidRPr="005C3897" w:rsidRDefault="00D518DE" w:rsidP="001B46D6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 xml:space="preserve">Il est possible d’exercer les </w:t>
            </w:r>
            <w:r w:rsidR="00D35340" w:rsidRPr="005C3897">
              <w:rPr>
                <w:rFonts w:ascii="Corbel" w:hAnsi="Corbel"/>
                <w:sz w:val="20"/>
                <w:szCs w:val="20"/>
              </w:rPr>
              <w:t>deux</w:t>
            </w:r>
            <w:r w:rsidRPr="005C3897">
              <w:rPr>
                <w:rFonts w:ascii="Corbel" w:hAnsi="Corbel"/>
                <w:sz w:val="20"/>
                <w:szCs w:val="20"/>
              </w:rPr>
              <w:t xml:space="preserve"> premières compétences </w:t>
            </w:r>
            <w:r w:rsidR="00502EA3" w:rsidRPr="005C3897">
              <w:rPr>
                <w:rFonts w:ascii="Corbel" w:hAnsi="Corbel"/>
                <w:sz w:val="20"/>
                <w:szCs w:val="20"/>
              </w:rPr>
              <w:t>« </w:t>
            </w:r>
            <w:r w:rsidR="00502EA3" w:rsidRPr="005C3897">
              <w:rPr>
                <w:rFonts w:ascii="Corbel" w:hAnsi="Corbel"/>
                <w:i/>
                <w:sz w:val="20"/>
                <w:szCs w:val="20"/>
              </w:rPr>
              <w:t>percevoir et différencier les sons, les bruits, les notions</w:t>
            </w:r>
            <w:r w:rsidR="00920E3D" w:rsidRPr="005C3897">
              <w:rPr>
                <w:rFonts w:ascii="Corbel" w:hAnsi="Corbel"/>
                <w:sz w:val="20"/>
                <w:szCs w:val="20"/>
              </w:rPr>
              <w:t> », « </w:t>
            </w:r>
            <w:r w:rsidR="00920E3D" w:rsidRPr="005C3897">
              <w:rPr>
                <w:rFonts w:ascii="Corbel" w:hAnsi="Corbel"/>
                <w:i/>
                <w:sz w:val="20"/>
                <w:szCs w:val="20"/>
              </w:rPr>
              <w:t>chercher, repérer et nommer des objets, des ambiances, des qualités sonores </w:t>
            </w:r>
            <w:r w:rsidR="00920E3D" w:rsidRPr="005C3897">
              <w:rPr>
                <w:rFonts w:ascii="Corbel" w:hAnsi="Corbel"/>
                <w:sz w:val="20"/>
                <w:szCs w:val="20"/>
              </w:rPr>
              <w:t xml:space="preserve">» </w:t>
            </w:r>
            <w:r w:rsidR="00D35340" w:rsidRPr="005C3897">
              <w:rPr>
                <w:rFonts w:ascii="Corbel" w:hAnsi="Corbel"/>
                <w:sz w:val="20"/>
                <w:szCs w:val="20"/>
              </w:rPr>
              <w:t>ensemble.</w:t>
            </w:r>
          </w:p>
          <w:p w14:paraId="222C6910" w14:textId="77777777" w:rsidR="005B47A9" w:rsidRPr="005C3897" w:rsidRDefault="005B47A9" w:rsidP="001B46D6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39CEA1AB" w14:textId="1CC74064" w:rsidR="009211FF" w:rsidRPr="005C3897" w:rsidRDefault="009211FF" w:rsidP="001B46D6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Décrire et comparer des productions d’artistes</w:t>
            </w:r>
            <w:r w:rsidRPr="005C3897">
              <w:rPr>
                <w:rFonts w:ascii="Corbel" w:hAnsi="Corbel"/>
                <w:sz w:val="20"/>
                <w:szCs w:val="20"/>
              </w:rPr>
              <w:t> », 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identifier des modes d’expression et des techniques d’exécution »,</w:t>
            </w:r>
            <w:r w:rsidRPr="005C3897">
              <w:rPr>
                <w:rFonts w:ascii="Corbel" w:hAnsi="Corbel"/>
                <w:sz w:val="20"/>
                <w:szCs w:val="20"/>
              </w:rPr>
              <w:t xml:space="preserve"> « 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>situer une œuvre dans son contexte historique et culturel</w:t>
            </w:r>
            <w:r w:rsidRPr="005C3897">
              <w:rPr>
                <w:rFonts w:ascii="Corbel" w:hAnsi="Corbel"/>
                <w:sz w:val="20"/>
                <w:szCs w:val="20"/>
              </w:rPr>
              <w:t> » peuvent être activées lors d’un même exercice de recherche ou d’analyse, ou alors considérées comme des incontournables, automatisés à chaque fois que l’on aborde une nouvelle activité (cadrage de celle-ci, « carte d’identité », références)</w:t>
            </w:r>
          </w:p>
          <w:p w14:paraId="22FDEAF0" w14:textId="77777777" w:rsidR="005B47A9" w:rsidRPr="005C3897" w:rsidRDefault="005B47A9" w:rsidP="001B46D6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7B51F37B" w14:textId="604EB18D" w:rsidR="00B8000B" w:rsidRPr="005C3897" w:rsidRDefault="00B8000B" w:rsidP="001B46D6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 xml:space="preserve">Dès lors que les activités pratiquées associent voix et rythme, </w:t>
            </w:r>
            <w:r w:rsidR="00151DEA" w:rsidRPr="005C3897">
              <w:rPr>
                <w:rFonts w:ascii="Corbel" w:hAnsi="Corbel"/>
                <w:sz w:val="20"/>
                <w:szCs w:val="20"/>
              </w:rPr>
              <w:t>sons et gestes etc… les différentes compétences qui les évoquent peuvent bien entendu être</w:t>
            </w:r>
            <w:r w:rsidR="002071F9" w:rsidRPr="005C3897">
              <w:rPr>
                <w:rFonts w:ascii="Corbel" w:hAnsi="Corbel"/>
                <w:sz w:val="20"/>
                <w:szCs w:val="20"/>
              </w:rPr>
              <w:t xml:space="preserve"> activées et observées ensemble.</w:t>
            </w:r>
          </w:p>
          <w:p w14:paraId="45FE5267" w14:textId="77777777" w:rsidR="005B47A9" w:rsidRPr="005C3897" w:rsidRDefault="005B47A9" w:rsidP="001B46D6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14:paraId="6A568844" w14:textId="35D44A60" w:rsidR="002071F9" w:rsidRPr="005C3897" w:rsidRDefault="008B5122" w:rsidP="001B46D6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Le</w:t>
            </w:r>
            <w:r w:rsidR="005B47A9" w:rsidRPr="005C3897">
              <w:rPr>
                <w:rFonts w:ascii="Corbel" w:hAnsi="Corbel"/>
                <w:sz w:val="20"/>
                <w:szCs w:val="20"/>
              </w:rPr>
              <w:t> »</w:t>
            </w:r>
            <w:r w:rsidRPr="005C3897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C3897">
              <w:rPr>
                <w:rFonts w:ascii="Corbel" w:hAnsi="Corbel"/>
                <w:i/>
                <w:sz w:val="20"/>
                <w:szCs w:val="20"/>
              </w:rPr>
              <w:t xml:space="preserve">décodage des langage utilisées </w:t>
            </w:r>
            <w:r w:rsidR="000F4978" w:rsidRPr="005C3897">
              <w:rPr>
                <w:rFonts w:ascii="Corbel" w:hAnsi="Corbel"/>
                <w:i/>
                <w:sz w:val="20"/>
                <w:szCs w:val="20"/>
              </w:rPr>
              <w:t>pour construire des images médiatiques</w:t>
            </w:r>
            <w:r w:rsidR="005B47A9" w:rsidRPr="005C3897">
              <w:rPr>
                <w:rFonts w:ascii="Corbel" w:hAnsi="Corbel"/>
                <w:i/>
                <w:sz w:val="20"/>
                <w:szCs w:val="20"/>
              </w:rPr>
              <w:t> </w:t>
            </w:r>
            <w:r w:rsidR="005B47A9" w:rsidRPr="005C3897">
              <w:rPr>
                <w:rFonts w:ascii="Corbel" w:hAnsi="Corbel"/>
                <w:sz w:val="20"/>
                <w:szCs w:val="20"/>
              </w:rPr>
              <w:t>»</w:t>
            </w:r>
            <w:r w:rsidR="000F4978" w:rsidRPr="005C3897">
              <w:rPr>
                <w:rFonts w:ascii="Corbel" w:hAnsi="Corbel"/>
                <w:sz w:val="20"/>
                <w:szCs w:val="20"/>
              </w:rPr>
              <w:t xml:space="preserve"> peut directement être</w:t>
            </w:r>
            <w:r w:rsidR="004A08EF" w:rsidRPr="005C3897">
              <w:rPr>
                <w:rFonts w:ascii="Corbel" w:hAnsi="Corbel"/>
                <w:sz w:val="20"/>
                <w:szCs w:val="20"/>
              </w:rPr>
              <w:t xml:space="preserve"> réinvesti dans un exercice de</w:t>
            </w:r>
            <w:r w:rsidR="005B47A9" w:rsidRPr="005C3897">
              <w:rPr>
                <w:rFonts w:ascii="Corbel" w:hAnsi="Corbel"/>
                <w:sz w:val="20"/>
                <w:szCs w:val="20"/>
              </w:rPr>
              <w:t> « </w:t>
            </w:r>
            <w:r w:rsidR="004A08EF" w:rsidRPr="005C3897">
              <w:rPr>
                <w:rFonts w:ascii="Corbel" w:hAnsi="Corbel"/>
                <w:i/>
                <w:sz w:val="20"/>
                <w:szCs w:val="20"/>
              </w:rPr>
              <w:t>traduction d’une ambiance, atmosphère, perception personnelle</w:t>
            </w:r>
            <w:r w:rsidR="005B47A9" w:rsidRPr="005C3897">
              <w:rPr>
                <w:rFonts w:ascii="Corbel" w:hAnsi="Corbel"/>
                <w:sz w:val="20"/>
                <w:szCs w:val="20"/>
              </w:rPr>
              <w:t> »</w:t>
            </w:r>
          </w:p>
          <w:p w14:paraId="3141D925" w14:textId="697285BB" w:rsidR="005B47A9" w:rsidRPr="005C3897" w:rsidRDefault="005B47A9" w:rsidP="001B46D6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>…</w:t>
            </w:r>
          </w:p>
          <w:p w14:paraId="0E489ACC" w14:textId="7B5C6A28" w:rsidR="00D35340" w:rsidRPr="005C3897" w:rsidRDefault="00D35340" w:rsidP="001B46D6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C5E0B3" w:themeFill="accent6" w:themeFillTint="66"/>
          </w:tcPr>
          <w:p w14:paraId="12673FE8" w14:textId="77777777" w:rsidR="000308C8" w:rsidRPr="005C3897" w:rsidRDefault="000308C8" w:rsidP="001B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5C3897">
              <w:rPr>
                <w:rFonts w:ascii="Corbel" w:hAnsi="Corbel"/>
                <w:sz w:val="20"/>
                <w:szCs w:val="20"/>
              </w:rPr>
              <w:t xml:space="preserve">Tableau des compétences p. 14 </w:t>
            </w:r>
          </w:p>
        </w:tc>
      </w:tr>
    </w:tbl>
    <w:p w14:paraId="345AD983" w14:textId="425FA42B" w:rsidR="00D22A49" w:rsidRPr="005C3897" w:rsidRDefault="001B46D6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textWrapping" w:clear="all"/>
      </w:r>
    </w:p>
    <w:sectPr w:rsidR="00D22A49" w:rsidRPr="005C3897" w:rsidSect="006F33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1959" w14:textId="77777777" w:rsidR="00844CE9" w:rsidRDefault="00844CE9" w:rsidP="00263498">
      <w:pPr>
        <w:spacing w:after="0" w:line="240" w:lineRule="auto"/>
      </w:pPr>
      <w:r>
        <w:separator/>
      </w:r>
    </w:p>
  </w:endnote>
  <w:endnote w:type="continuationSeparator" w:id="0">
    <w:p w14:paraId="38DF733F" w14:textId="77777777" w:rsidR="00844CE9" w:rsidRDefault="00844CE9" w:rsidP="0026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E6AE" w14:textId="77777777" w:rsidR="00C96D69" w:rsidRDefault="00C96D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41F3" w14:textId="14C9F833" w:rsidR="00732B19" w:rsidRPr="00732B19" w:rsidRDefault="00732B19" w:rsidP="00732B19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22"/>
        <w:szCs w:val="22"/>
      </w:rPr>
    </w:pPr>
    <w:r w:rsidRPr="00732B19">
      <w:rPr>
        <w:rFonts w:eastAsia="Times New Roman" w:cstheme="minorHAnsi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58CF367" wp14:editId="0B626E05">
          <wp:simplePos x="0" y="0"/>
          <wp:positionH relativeFrom="margin">
            <wp:align>left</wp:align>
          </wp:positionH>
          <wp:positionV relativeFrom="paragraph">
            <wp:posOffset>9974</wp:posOffset>
          </wp:positionV>
          <wp:extent cx="893852" cy="521414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52" cy="52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2B19">
      <w:rPr>
        <w:rFonts w:cstheme="majorHAnsi"/>
      </w:rPr>
      <w:t xml:space="preserve"> </w:t>
    </w:r>
    <w:r w:rsidRPr="00732B19">
      <w:rPr>
        <w:rFonts w:eastAsia="Times New Roman" w:cstheme="minorHAnsi"/>
        <w:sz w:val="22"/>
        <w:szCs w:val="22"/>
      </w:rPr>
      <w:t xml:space="preserve">Éducation plastique </w:t>
    </w:r>
    <w:r w:rsidR="00C96D69">
      <w:rPr>
        <w:rFonts w:eastAsia="Times New Roman" w:cstheme="minorHAnsi"/>
        <w:sz w:val="22"/>
        <w:szCs w:val="22"/>
      </w:rPr>
      <w:t>-</w:t>
    </w:r>
    <w:r w:rsidRPr="00732B19">
      <w:rPr>
        <w:rFonts w:eastAsia="Times New Roman" w:cstheme="minorHAnsi"/>
        <w:sz w:val="22"/>
        <w:szCs w:val="22"/>
      </w:rPr>
      <w:t xml:space="preserve"> Éducation musicale</w:t>
    </w:r>
    <w:r>
      <w:rPr>
        <w:rFonts w:eastAsia="Times New Roman" w:cstheme="minorHAnsi"/>
        <w:sz w:val="22"/>
        <w:szCs w:val="22"/>
      </w:rPr>
      <w:t xml:space="preserve"> </w:t>
    </w:r>
    <w:r w:rsidRPr="00732B19">
      <w:rPr>
        <w:rFonts w:eastAsia="Times New Roman" w:cstheme="minorHAnsi"/>
        <w:sz w:val="22"/>
        <w:szCs w:val="22"/>
      </w:rPr>
      <w:t>1</w:t>
    </w:r>
    <w:r w:rsidRPr="00732B19">
      <w:rPr>
        <w:rFonts w:eastAsia="Times New Roman" w:cstheme="minorHAnsi"/>
        <w:sz w:val="22"/>
        <w:szCs w:val="22"/>
        <w:vertAlign w:val="superscript"/>
      </w:rPr>
      <w:t>e</w:t>
    </w:r>
    <w:r w:rsidRPr="00732B19">
      <w:rPr>
        <w:rFonts w:eastAsia="Times New Roman" w:cstheme="minorHAnsi"/>
        <w:sz w:val="22"/>
        <w:szCs w:val="22"/>
      </w:rPr>
      <w:t xml:space="preserve"> </w:t>
    </w:r>
    <w:r w:rsidR="00C96D69" w:rsidRPr="00732B19">
      <w:rPr>
        <w:rFonts w:eastAsia="Times New Roman" w:cstheme="minorHAnsi"/>
        <w:sz w:val="22"/>
        <w:szCs w:val="22"/>
      </w:rPr>
      <w:t>–</w:t>
    </w:r>
    <w:r w:rsidRPr="00732B19">
      <w:rPr>
        <w:rFonts w:eastAsia="Times New Roman" w:cstheme="minorHAnsi"/>
        <w:sz w:val="22"/>
        <w:szCs w:val="22"/>
      </w:rPr>
      <w:t xml:space="preserve"> 2</w:t>
    </w:r>
    <w:r w:rsidRPr="00732B19">
      <w:rPr>
        <w:rFonts w:eastAsia="Times New Roman" w:cstheme="minorHAnsi"/>
        <w:sz w:val="22"/>
        <w:szCs w:val="22"/>
        <w:vertAlign w:val="superscript"/>
      </w:rPr>
      <w:t>e</w:t>
    </w:r>
    <w:r w:rsidRPr="00732B19">
      <w:rPr>
        <w:rFonts w:eastAsia="Times New Roman" w:cstheme="minorHAnsi"/>
        <w:sz w:val="22"/>
        <w:szCs w:val="22"/>
      </w:rPr>
      <w:t xml:space="preserve"> </w:t>
    </w:r>
    <w:r w:rsidR="00C96D69" w:rsidRPr="00732B19">
      <w:rPr>
        <w:rFonts w:eastAsia="Times New Roman" w:cstheme="minorHAnsi"/>
        <w:sz w:val="22"/>
        <w:szCs w:val="22"/>
      </w:rPr>
      <w:t>–</w:t>
    </w:r>
    <w:r w:rsidR="00C96D69">
      <w:rPr>
        <w:rFonts w:eastAsia="Times New Roman" w:cstheme="minorHAnsi"/>
        <w:sz w:val="22"/>
        <w:szCs w:val="22"/>
      </w:rPr>
      <w:t xml:space="preserve"> </w:t>
    </w:r>
    <w:r w:rsidRPr="00732B19">
      <w:rPr>
        <w:rFonts w:eastAsia="Times New Roman" w:cstheme="minorHAnsi"/>
        <w:sz w:val="22"/>
        <w:szCs w:val="22"/>
      </w:rPr>
      <w:t>Essentiels</w:t>
    </w:r>
  </w:p>
  <w:p w14:paraId="6D41D9DE" w14:textId="77777777" w:rsidR="00732B19" w:rsidRDefault="00732B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850" w14:textId="77777777" w:rsidR="00C96D69" w:rsidRDefault="00C96D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127C" w14:textId="77777777" w:rsidR="00844CE9" w:rsidRDefault="00844CE9" w:rsidP="00263498">
      <w:pPr>
        <w:spacing w:after="0" w:line="240" w:lineRule="auto"/>
      </w:pPr>
      <w:r>
        <w:separator/>
      </w:r>
    </w:p>
  </w:footnote>
  <w:footnote w:type="continuationSeparator" w:id="0">
    <w:p w14:paraId="49C51267" w14:textId="77777777" w:rsidR="00844CE9" w:rsidRDefault="00844CE9" w:rsidP="0026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9389" w14:textId="77777777" w:rsidR="00C96D69" w:rsidRDefault="00C96D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1763" w14:textId="77777777" w:rsidR="00C96D69" w:rsidRDefault="00C96D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81FE" w14:textId="77777777" w:rsidR="00C96D69" w:rsidRDefault="00C96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45DB"/>
    <w:multiLevelType w:val="hybridMultilevel"/>
    <w:tmpl w:val="54326956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E491540"/>
    <w:multiLevelType w:val="hybridMultilevel"/>
    <w:tmpl w:val="A52C2574"/>
    <w:lvl w:ilvl="0" w:tplc="A6F234F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C8"/>
    <w:rsid w:val="000308C8"/>
    <w:rsid w:val="00037B10"/>
    <w:rsid w:val="00064A08"/>
    <w:rsid w:val="00084B1B"/>
    <w:rsid w:val="000852E5"/>
    <w:rsid w:val="00095188"/>
    <w:rsid w:val="000964C5"/>
    <w:rsid w:val="000C4311"/>
    <w:rsid w:val="000F4978"/>
    <w:rsid w:val="0013776F"/>
    <w:rsid w:val="00145E50"/>
    <w:rsid w:val="00151DEA"/>
    <w:rsid w:val="001B0765"/>
    <w:rsid w:val="001B46D6"/>
    <w:rsid w:val="001C5A57"/>
    <w:rsid w:val="00201ECB"/>
    <w:rsid w:val="002071F9"/>
    <w:rsid w:val="002157FF"/>
    <w:rsid w:val="0024580B"/>
    <w:rsid w:val="00263498"/>
    <w:rsid w:val="002826F9"/>
    <w:rsid w:val="002D6A6F"/>
    <w:rsid w:val="00304E5C"/>
    <w:rsid w:val="003E7474"/>
    <w:rsid w:val="00403EC2"/>
    <w:rsid w:val="00414E6A"/>
    <w:rsid w:val="00422E5B"/>
    <w:rsid w:val="0048197D"/>
    <w:rsid w:val="004836CC"/>
    <w:rsid w:val="004A08EF"/>
    <w:rsid w:val="004A0E07"/>
    <w:rsid w:val="004A111D"/>
    <w:rsid w:val="004F6E18"/>
    <w:rsid w:val="00502EA3"/>
    <w:rsid w:val="0051274B"/>
    <w:rsid w:val="00557BDE"/>
    <w:rsid w:val="00591426"/>
    <w:rsid w:val="005B47A9"/>
    <w:rsid w:val="005C3897"/>
    <w:rsid w:val="005D48AE"/>
    <w:rsid w:val="005F6A85"/>
    <w:rsid w:val="006F330A"/>
    <w:rsid w:val="00732B19"/>
    <w:rsid w:val="00772484"/>
    <w:rsid w:val="007B721C"/>
    <w:rsid w:val="007C60E7"/>
    <w:rsid w:val="007F03D1"/>
    <w:rsid w:val="007F4433"/>
    <w:rsid w:val="00802ACA"/>
    <w:rsid w:val="00816BCA"/>
    <w:rsid w:val="008327DD"/>
    <w:rsid w:val="00844CE9"/>
    <w:rsid w:val="008B5122"/>
    <w:rsid w:val="009001B4"/>
    <w:rsid w:val="00920E3D"/>
    <w:rsid w:val="009211FF"/>
    <w:rsid w:val="00923AEB"/>
    <w:rsid w:val="0095772B"/>
    <w:rsid w:val="00965AE0"/>
    <w:rsid w:val="009C134E"/>
    <w:rsid w:val="009F7829"/>
    <w:rsid w:val="00A83F31"/>
    <w:rsid w:val="00A92FFA"/>
    <w:rsid w:val="00AC79B7"/>
    <w:rsid w:val="00B13EEB"/>
    <w:rsid w:val="00B4121B"/>
    <w:rsid w:val="00B43528"/>
    <w:rsid w:val="00B6145E"/>
    <w:rsid w:val="00B734D6"/>
    <w:rsid w:val="00B8000B"/>
    <w:rsid w:val="00BB420C"/>
    <w:rsid w:val="00BD211A"/>
    <w:rsid w:val="00BE6CF5"/>
    <w:rsid w:val="00C3309F"/>
    <w:rsid w:val="00C61934"/>
    <w:rsid w:val="00C87059"/>
    <w:rsid w:val="00C96D69"/>
    <w:rsid w:val="00CB66EB"/>
    <w:rsid w:val="00CD22CF"/>
    <w:rsid w:val="00CD34AF"/>
    <w:rsid w:val="00D14C43"/>
    <w:rsid w:val="00D22A49"/>
    <w:rsid w:val="00D35340"/>
    <w:rsid w:val="00D35424"/>
    <w:rsid w:val="00D518DE"/>
    <w:rsid w:val="00DB7688"/>
    <w:rsid w:val="00DC5EC6"/>
    <w:rsid w:val="00DD2191"/>
    <w:rsid w:val="00DD4B8D"/>
    <w:rsid w:val="00E064C6"/>
    <w:rsid w:val="00E145AD"/>
    <w:rsid w:val="00E67E12"/>
    <w:rsid w:val="00EC109A"/>
    <w:rsid w:val="00ED35A4"/>
    <w:rsid w:val="00F12FC5"/>
    <w:rsid w:val="00F14D4B"/>
    <w:rsid w:val="00F27A4E"/>
    <w:rsid w:val="00F414B5"/>
    <w:rsid w:val="00F42C5C"/>
    <w:rsid w:val="00F51129"/>
    <w:rsid w:val="00FB78C1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3ACB"/>
  <w15:chartTrackingRefBased/>
  <w15:docId w15:val="{3B7B739B-474C-4B94-85D7-8871E56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BCA"/>
  </w:style>
  <w:style w:type="paragraph" w:styleId="Titre1">
    <w:name w:val="heading 1"/>
    <w:basedOn w:val="Normal"/>
    <w:next w:val="Normal"/>
    <w:link w:val="Titre1Car"/>
    <w:uiPriority w:val="9"/>
    <w:qFormat/>
    <w:rsid w:val="00816BC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6BC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6BC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6B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6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6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6B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6B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6BC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22C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6B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16BC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16BC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16BC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16BC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16BC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16BC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16B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16BC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6BC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16BC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16BC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6BC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6BCA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16BCA"/>
    <w:rPr>
      <w:b/>
      <w:bCs/>
    </w:rPr>
  </w:style>
  <w:style w:type="character" w:styleId="Accentuation">
    <w:name w:val="Emphasis"/>
    <w:basedOn w:val="Policepardfaut"/>
    <w:uiPriority w:val="20"/>
    <w:qFormat/>
    <w:rsid w:val="00816BC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16BC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16BC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16BCA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6BC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6BC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16BCA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16BCA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16BC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16BC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16BC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6BCA"/>
    <w:pPr>
      <w:outlineLvl w:val="9"/>
    </w:pPr>
  </w:style>
  <w:style w:type="table" w:styleId="TableauGrille4-Accentuation5">
    <w:name w:val="Grid Table 4 Accent 5"/>
    <w:basedOn w:val="TableauNormal"/>
    <w:uiPriority w:val="49"/>
    <w:rsid w:val="00084B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498"/>
  </w:style>
  <w:style w:type="paragraph" w:styleId="Pieddepage">
    <w:name w:val="footer"/>
    <w:basedOn w:val="Normal"/>
    <w:link w:val="PieddepageCar"/>
    <w:uiPriority w:val="99"/>
    <w:unhideWhenUsed/>
    <w:rsid w:val="0026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3" ma:contentTypeDescription="Crée un document." ma:contentTypeScope="" ma:versionID="f3c293b53ed6e761b2f4046713b16f32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0c8aafcdf68e26d7f453cfe95f534cac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769C0-F73E-4D0C-9BD8-544EF2E82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ED69C-34D1-46BE-B073-F1580BAAE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1A547-1047-4109-9429-EDD11EDF4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Prignon Pascale</cp:lastModifiedBy>
  <cp:revision>11</cp:revision>
  <dcterms:created xsi:type="dcterms:W3CDTF">2021-02-04T08:27:00Z</dcterms:created>
  <dcterms:modified xsi:type="dcterms:W3CDTF">2021-02-04T12:11:00Z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