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5090" w14:textId="113C6186" w:rsidR="00CB3BB4" w:rsidRPr="009E1844" w:rsidRDefault="0048645B" w:rsidP="00CB3BB4">
      <w:pPr>
        <w:pStyle w:val="Citationintense"/>
        <w:ind w:left="0" w:right="112"/>
        <w:rPr>
          <w:i w:val="0"/>
          <w:iCs w:val="0"/>
          <w:sz w:val="36"/>
          <w:szCs w:val="40"/>
        </w:rPr>
      </w:pPr>
      <w:r>
        <w:rPr>
          <w:i w:val="0"/>
          <w:iCs w:val="0"/>
          <w:sz w:val="36"/>
          <w:szCs w:val="40"/>
        </w:rPr>
        <w:t>S</w:t>
      </w:r>
      <w:r w:rsidR="00CB3BB4" w:rsidRPr="009E1844">
        <w:rPr>
          <w:i w:val="0"/>
          <w:iCs w:val="0"/>
          <w:sz w:val="36"/>
          <w:szCs w:val="40"/>
        </w:rPr>
        <w:t>ecteur des sciences économiques et sociales</w:t>
      </w:r>
    </w:p>
    <w:p w14:paraId="36203D73" w14:textId="158C6C0B" w:rsidR="004F3783" w:rsidRPr="000654AD" w:rsidRDefault="000932DD" w:rsidP="00922BE3">
      <w:pPr>
        <w:pStyle w:val="Corpsdetexte"/>
        <w:spacing w:line="276" w:lineRule="auto"/>
        <w:ind w:left="0"/>
        <w:rPr>
          <w:bCs/>
          <w:color w:val="4F81BD" w:themeColor="accent1"/>
          <w:sz w:val="36"/>
          <w:szCs w:val="36"/>
        </w:rPr>
      </w:pPr>
      <w:r>
        <w:rPr>
          <w:bCs/>
          <w:color w:val="4F81BD" w:themeColor="accent1"/>
          <w:sz w:val="36"/>
          <w:szCs w:val="36"/>
        </w:rPr>
        <w:t xml:space="preserve">Réflexion autour des essentiels </w:t>
      </w:r>
      <w:r w:rsidRPr="00730D7C">
        <w:rPr>
          <w:bCs/>
          <w:color w:val="4F81BD" w:themeColor="accent1"/>
          <w:sz w:val="36"/>
          <w:szCs w:val="36"/>
        </w:rPr>
        <w:t xml:space="preserve">dans </w:t>
      </w:r>
      <w:r w:rsidR="00433E14" w:rsidRPr="000654AD">
        <w:rPr>
          <w:bCs/>
          <w:color w:val="4F81BD" w:themeColor="accent1"/>
          <w:sz w:val="36"/>
          <w:szCs w:val="36"/>
        </w:rPr>
        <w:t xml:space="preserve">le </w:t>
      </w:r>
      <w:r w:rsidR="000D7F1D" w:rsidRPr="000654AD">
        <w:rPr>
          <w:bCs/>
          <w:color w:val="4F81BD" w:themeColor="accent1"/>
          <w:sz w:val="36"/>
          <w:szCs w:val="36"/>
        </w:rPr>
        <w:t>3</w:t>
      </w:r>
      <w:r w:rsidR="00082600" w:rsidRPr="000654AD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0654AD">
        <w:rPr>
          <w:bCs/>
          <w:color w:val="4F81BD" w:themeColor="accent1"/>
          <w:sz w:val="36"/>
          <w:szCs w:val="36"/>
        </w:rPr>
        <w:t xml:space="preserve"> degré </w:t>
      </w:r>
      <w:r w:rsidR="00922BE3" w:rsidRPr="000654AD">
        <w:rPr>
          <w:bCs/>
          <w:color w:val="4F81BD" w:themeColor="accent1"/>
          <w:sz w:val="36"/>
          <w:szCs w:val="36"/>
        </w:rPr>
        <w:t>du qualifiant,</w:t>
      </w:r>
      <w:r w:rsidR="00082600" w:rsidRPr="000654AD">
        <w:rPr>
          <w:bCs/>
          <w:color w:val="4F81BD" w:themeColor="accent1"/>
          <w:sz w:val="36"/>
          <w:szCs w:val="36"/>
        </w:rPr>
        <w:t xml:space="preserve"> </w:t>
      </w:r>
      <w:r w:rsidR="00922BE3" w:rsidRPr="000654AD">
        <w:rPr>
          <w:bCs/>
          <w:color w:val="4F81BD" w:themeColor="accent1"/>
          <w:sz w:val="36"/>
          <w:szCs w:val="36"/>
        </w:rPr>
        <w:t>cours de</w:t>
      </w:r>
      <w:r w:rsidR="00082600" w:rsidRPr="000654AD">
        <w:rPr>
          <w:bCs/>
          <w:color w:val="4F81BD" w:themeColor="accent1"/>
          <w:sz w:val="36"/>
          <w:szCs w:val="36"/>
        </w:rPr>
        <w:t xml:space="preserve"> </w:t>
      </w:r>
      <w:r w:rsidR="002C1148" w:rsidRPr="000654AD">
        <w:rPr>
          <w:bCs/>
          <w:color w:val="4F81BD" w:themeColor="accent1"/>
          <w:sz w:val="36"/>
          <w:szCs w:val="36"/>
        </w:rPr>
        <w:t>« </w:t>
      </w:r>
      <w:r w:rsidR="00922BE3" w:rsidRPr="000654AD">
        <w:rPr>
          <w:bCs/>
          <w:color w:val="4F81BD" w:themeColor="accent1"/>
          <w:sz w:val="36"/>
          <w:szCs w:val="36"/>
        </w:rPr>
        <w:t>Formation sociale et économique</w:t>
      </w:r>
      <w:r w:rsidR="002C1148" w:rsidRPr="000654AD">
        <w:rPr>
          <w:bCs/>
          <w:color w:val="4F81BD" w:themeColor="accent1"/>
          <w:sz w:val="36"/>
          <w:szCs w:val="36"/>
        </w:rPr>
        <w:t> »</w:t>
      </w:r>
      <w:r w:rsidR="00082600" w:rsidRPr="000654AD">
        <w:rPr>
          <w:bCs/>
          <w:color w:val="4F81BD" w:themeColor="accent1"/>
          <w:sz w:val="36"/>
          <w:szCs w:val="36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1B58054D" w14:textId="770987B5" w:rsidR="000932DD" w:rsidRDefault="000932DD" w:rsidP="000932DD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</w:t>
      </w:r>
      <w:r w:rsidR="00BF3CA9">
        <w:t>des options</w:t>
      </w:r>
      <w:r>
        <w:t xml:space="preserve"> du secteur des sciences économiques et sociales. L’ensemble de ces informations doit être adapté en fonction de la réalité de chaque classe.</w:t>
      </w:r>
    </w:p>
    <w:p w14:paraId="1AD01D5D" w14:textId="77777777" w:rsidR="000932DD" w:rsidRDefault="000932DD" w:rsidP="000932DD">
      <w:pPr>
        <w:widowControl/>
        <w:autoSpaceDE/>
        <w:autoSpaceDN/>
        <w:spacing w:line="276" w:lineRule="auto"/>
        <w:contextualSpacing/>
        <w:jc w:val="both"/>
      </w:pPr>
    </w:p>
    <w:p w14:paraId="3D0329B7" w14:textId="77777777" w:rsidR="000932DD" w:rsidRDefault="000932DD" w:rsidP="000932DD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3D641C69" w14:textId="2C2F77F6" w:rsidR="000932DD" w:rsidRDefault="000932DD" w:rsidP="000932DD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</w:t>
      </w:r>
      <w:r w:rsidR="002D4A7C">
        <w:t>le</w:t>
      </w:r>
      <w:r>
        <w:t xml:space="preserve"> d’un apprentissage différencié.</w:t>
      </w:r>
    </w:p>
    <w:p w14:paraId="44A2B432" w14:textId="77777777" w:rsidR="000932DD" w:rsidRDefault="000932DD" w:rsidP="000932DD">
      <w:pPr>
        <w:widowControl/>
        <w:autoSpaceDE/>
        <w:autoSpaceDN/>
        <w:spacing w:line="276" w:lineRule="auto"/>
        <w:contextualSpacing/>
        <w:jc w:val="both"/>
      </w:pPr>
    </w:p>
    <w:p w14:paraId="30E7CA04" w14:textId="77777777" w:rsidR="000932DD" w:rsidRPr="009D66E8" w:rsidRDefault="000932DD" w:rsidP="000932DD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473DCBDA" w14:textId="77777777" w:rsidR="000932DD" w:rsidRPr="009D66E8" w:rsidRDefault="000932DD" w:rsidP="000932DD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28C24037" w14:textId="77777777" w:rsidR="000932DD" w:rsidRDefault="000932DD" w:rsidP="000932DD">
      <w:pPr>
        <w:widowControl/>
        <w:autoSpaceDE/>
        <w:autoSpaceDN/>
        <w:spacing w:line="276" w:lineRule="auto"/>
        <w:contextualSpacing/>
        <w:jc w:val="both"/>
      </w:pPr>
    </w:p>
    <w:p w14:paraId="3F26458A" w14:textId="77777777" w:rsidR="000932DD" w:rsidRPr="001772AE" w:rsidRDefault="000932DD" w:rsidP="000932DD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3A468484" w14:textId="77777777" w:rsidR="000932DD" w:rsidRDefault="000932DD" w:rsidP="000932DD">
      <w:pPr>
        <w:pStyle w:val="Paragraphedeliste"/>
        <w:ind w:left="0" w:firstLine="0"/>
        <w:jc w:val="both"/>
      </w:pPr>
    </w:p>
    <w:p w14:paraId="3E569D6F" w14:textId="77777777" w:rsidR="000932DD" w:rsidRDefault="000932DD" w:rsidP="000932DD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3CBB08B2" wp14:editId="6CB232FF">
            <wp:extent cx="5536379" cy="3114415"/>
            <wp:effectExtent l="0" t="0" r="7620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45" cy="31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913B" w14:textId="77777777" w:rsidR="000932DD" w:rsidRDefault="000932DD" w:rsidP="000932DD">
      <w:pPr>
        <w:pStyle w:val="Paragraphedeliste"/>
        <w:ind w:left="0" w:firstLine="0"/>
        <w:jc w:val="both"/>
      </w:pPr>
    </w:p>
    <w:p w14:paraId="5DEA391B" w14:textId="77777777" w:rsidR="000932DD" w:rsidRDefault="000932DD" w:rsidP="000932DD">
      <w:pPr>
        <w:widowControl/>
        <w:autoSpaceDE/>
        <w:autoSpaceDN/>
        <w:contextualSpacing/>
      </w:pPr>
    </w:p>
    <w:p w14:paraId="7D9DB53E" w14:textId="77777777" w:rsidR="000932DD" w:rsidRDefault="000932DD" w:rsidP="000932DD">
      <w:pPr>
        <w:pStyle w:val="Paragraphedeliste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263F1611" w14:textId="77777777" w:rsidR="000932DD" w:rsidRDefault="000932DD" w:rsidP="000932DD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5D3E5E78" w14:textId="77777777" w:rsidR="000932DD" w:rsidRPr="00550E45" w:rsidRDefault="000932DD" w:rsidP="000932DD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4729E386" w14:textId="2D0A5988" w:rsidR="009E1A21" w:rsidRDefault="009E1A21" w:rsidP="00E462E8">
      <w:pPr>
        <w:widowControl/>
        <w:autoSpaceDE/>
        <w:autoSpaceDN/>
        <w:spacing w:line="276" w:lineRule="auto"/>
        <w:contextualSpacing/>
        <w:jc w:val="both"/>
      </w:pPr>
    </w:p>
    <w:p w14:paraId="4C51CE1C" w14:textId="75FE0A00" w:rsidR="00E55751" w:rsidRPr="003E4688" w:rsidRDefault="00A2674B" w:rsidP="00E462E8">
      <w:pPr>
        <w:widowControl/>
        <w:autoSpaceDE/>
        <w:autoSpaceDN/>
        <w:spacing w:line="276" w:lineRule="auto"/>
        <w:contextualSpacing/>
        <w:jc w:val="both"/>
      </w:pPr>
      <w:r w:rsidRPr="003E4688">
        <w:rPr>
          <w:noProof/>
        </w:rPr>
        <w:drawing>
          <wp:anchor distT="0" distB="0" distL="114300" distR="114300" simplePos="0" relativeHeight="251658240" behindDoc="0" locked="0" layoutInCell="1" allowOverlap="1" wp14:anchorId="28A71B44" wp14:editId="17BC248E">
            <wp:simplePos x="0" y="0"/>
            <wp:positionH relativeFrom="column">
              <wp:posOffset>-31115</wp:posOffset>
            </wp:positionH>
            <wp:positionV relativeFrom="paragraph">
              <wp:posOffset>2839720</wp:posOffset>
            </wp:positionV>
            <wp:extent cx="6090285" cy="1457325"/>
            <wp:effectExtent l="0" t="0" r="571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57734" r="2784" b="6485"/>
                    <a:stretch/>
                  </pic:blipFill>
                  <pic:spPr bwMode="auto">
                    <a:xfrm>
                      <a:off x="0" y="0"/>
                      <a:ext cx="609028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688">
        <w:rPr>
          <w:noProof/>
        </w:rPr>
        <w:drawing>
          <wp:anchor distT="0" distB="0" distL="114300" distR="114300" simplePos="0" relativeHeight="251659264" behindDoc="0" locked="0" layoutInCell="1" allowOverlap="1" wp14:anchorId="78924F9D" wp14:editId="728A86B6">
            <wp:simplePos x="0" y="0"/>
            <wp:positionH relativeFrom="column">
              <wp:posOffset>4445</wp:posOffset>
            </wp:positionH>
            <wp:positionV relativeFrom="paragraph">
              <wp:posOffset>1210945</wp:posOffset>
            </wp:positionV>
            <wp:extent cx="6087745" cy="1628775"/>
            <wp:effectExtent l="0" t="0" r="825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4232" r="2514" b="55601"/>
                    <a:stretch/>
                  </pic:blipFill>
                  <pic:spPr bwMode="auto">
                    <a:xfrm>
                      <a:off x="0" y="0"/>
                      <a:ext cx="608774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F1">
        <w:rPr>
          <w:noProof/>
        </w:rPr>
        <w:t>Les</w:t>
      </w:r>
      <w:r w:rsidR="00A85A2E">
        <w:rPr>
          <w:noProof/>
        </w:rPr>
        <w:t xml:space="preserve"> tableaux </w:t>
      </w:r>
      <w:r w:rsidR="00F566F1">
        <w:rPr>
          <w:noProof/>
        </w:rPr>
        <w:t xml:space="preserve">ci-dessous </w:t>
      </w:r>
      <w:r w:rsidR="00A85A2E">
        <w:rPr>
          <w:noProof/>
        </w:rPr>
        <w:t>ont pour objectifs d’aider l’enseignant à cibler</w:t>
      </w:r>
      <w:r w:rsidR="00AF2C67" w:rsidRPr="003E4688">
        <w:t xml:space="preserve"> </w:t>
      </w:r>
      <w:r w:rsidR="00A85A2E">
        <w:t>parmi</w:t>
      </w:r>
      <w:r w:rsidR="00AF2C67" w:rsidRPr="003E4688">
        <w:t xml:space="preserve"> les apprentissages non réalisés en </w:t>
      </w:r>
      <w:r w:rsidR="003D6C4C" w:rsidRPr="003E4688">
        <w:t>5</w:t>
      </w:r>
      <w:r w:rsidR="003D6C4C" w:rsidRPr="003E4688">
        <w:rPr>
          <w:vertAlign w:val="superscript"/>
        </w:rPr>
        <w:t>e</w:t>
      </w:r>
      <w:r w:rsidR="002C7D9C" w:rsidRPr="003E4688">
        <w:rPr>
          <w:vertAlign w:val="superscript"/>
        </w:rPr>
        <w:t xml:space="preserve"> </w:t>
      </w:r>
      <w:r w:rsidR="007B5542" w:rsidRPr="003E4688">
        <w:rPr>
          <w:vertAlign w:val="superscript"/>
        </w:rPr>
        <w:t xml:space="preserve"> </w:t>
      </w:r>
      <w:r w:rsidR="007B5542" w:rsidRPr="003E4688">
        <w:t>TQ</w:t>
      </w:r>
      <w:r w:rsidR="00AB109C" w:rsidRPr="003E4688">
        <w:t xml:space="preserve"> et P</w:t>
      </w:r>
      <w:r w:rsidR="007B5542" w:rsidRPr="003E4688">
        <w:t xml:space="preserve"> </w:t>
      </w:r>
      <w:r w:rsidR="002C7D9C" w:rsidRPr="003E4688">
        <w:t>et en 6</w:t>
      </w:r>
      <w:r w:rsidR="002C7D9C" w:rsidRPr="003E4688">
        <w:rPr>
          <w:vertAlign w:val="superscript"/>
        </w:rPr>
        <w:t>e</w:t>
      </w:r>
      <w:r w:rsidR="002C7D9C" w:rsidRPr="003E4688">
        <w:t xml:space="preserve"> </w:t>
      </w:r>
      <w:r w:rsidR="007B5542" w:rsidRPr="003E4688">
        <w:t>P (</w:t>
      </w:r>
      <w:r w:rsidR="00406B78" w:rsidRPr="003E4688">
        <w:t>où 2 UAA sont prévues en 7</w:t>
      </w:r>
      <w:r w:rsidR="00406B78" w:rsidRPr="003E4688">
        <w:rPr>
          <w:vertAlign w:val="superscript"/>
        </w:rPr>
        <w:t>e</w:t>
      </w:r>
      <w:r w:rsidR="00406B78" w:rsidRPr="003E4688">
        <w:t>)</w:t>
      </w:r>
      <w:r w:rsidR="003D6C4C" w:rsidRPr="003E4688">
        <w:t xml:space="preserve"> ceux qui sont indispensables à la maîtrise des nouveaux savoirs.</w:t>
      </w:r>
      <w:r w:rsidR="00496DBD" w:rsidRPr="003E4688">
        <w:t xml:space="preserve"> Il est important d’insister sur le fait qu’un savoir ne doit pas être enseigné cette année parce qu’il était au programme de l’année précédent</w:t>
      </w:r>
      <w:r w:rsidR="004B338F" w:rsidRPr="003E4688">
        <w:t>e</w:t>
      </w:r>
      <w:r w:rsidR="00D90617" w:rsidRPr="003E4688">
        <w:t>, mais parce que sa maîtrise est indispensable à l’appropriation d’un nouveau savoir.</w:t>
      </w:r>
    </w:p>
    <w:p w14:paraId="46675CB9" w14:textId="77777777" w:rsidR="00A2674B" w:rsidRDefault="00A2674B" w:rsidP="00533A5F">
      <w:pPr>
        <w:spacing w:line="276" w:lineRule="auto"/>
        <w:jc w:val="both"/>
      </w:pPr>
    </w:p>
    <w:p w14:paraId="4D801261" w14:textId="77777777" w:rsidR="00850105" w:rsidRDefault="00850105" w:rsidP="00533A5F">
      <w:pPr>
        <w:spacing w:line="276" w:lineRule="auto"/>
        <w:jc w:val="both"/>
      </w:pPr>
    </w:p>
    <w:p w14:paraId="18C1CAB9" w14:textId="551499AA" w:rsidR="00533A5F" w:rsidRPr="003E4688" w:rsidRDefault="00533A5F" w:rsidP="00533A5F">
      <w:pPr>
        <w:spacing w:line="276" w:lineRule="auto"/>
        <w:jc w:val="both"/>
      </w:pPr>
      <w:r w:rsidRPr="003E4688">
        <w:t xml:space="preserve">Pour </w:t>
      </w:r>
      <w:r w:rsidR="004B27D6" w:rsidRPr="003E4688">
        <w:t>ce co</w:t>
      </w:r>
      <w:r w:rsidR="000416DD" w:rsidRPr="003E4688">
        <w:t>u</w:t>
      </w:r>
      <w:r w:rsidR="004B27D6" w:rsidRPr="003E4688">
        <w:t>rs</w:t>
      </w:r>
      <w:r w:rsidRPr="003E4688">
        <w:t>, le programme demande de mettre les élèves dans des situations proches du réel</w:t>
      </w:r>
      <w:r w:rsidR="000416DD" w:rsidRPr="003E4688">
        <w:t>. L</w:t>
      </w:r>
      <w:r w:rsidRPr="003E4688">
        <w:t xml:space="preserve">’élève va acquérir </w:t>
      </w:r>
      <w:r w:rsidR="006B664B" w:rsidRPr="003E4688">
        <w:t>des savoirs, savoir-faire et compétences</w:t>
      </w:r>
      <w:r w:rsidR="007B5542" w:rsidRPr="003E4688">
        <w:t xml:space="preserve"> </w:t>
      </w:r>
      <w:r w:rsidR="006B664B" w:rsidRPr="003E4688">
        <w:t>dans une</w:t>
      </w:r>
      <w:r w:rsidRPr="003E4688">
        <w:t xml:space="preserve"> logique spiralaire. Dans ce contexte, des </w:t>
      </w:r>
      <w:r w:rsidR="00850105">
        <w:t>savoirs</w:t>
      </w:r>
      <w:r w:rsidRPr="003E4688">
        <w:t xml:space="preserve"> qui n’ont pu être </w:t>
      </w:r>
      <w:r w:rsidR="00EA5E93">
        <w:t>vus</w:t>
      </w:r>
      <w:r w:rsidRPr="003E4688">
        <w:t xml:space="preserve"> en 5</w:t>
      </w:r>
      <w:r w:rsidRPr="003E4688">
        <w:rPr>
          <w:vertAlign w:val="superscript"/>
        </w:rPr>
        <w:t>e</w:t>
      </w:r>
      <w:r w:rsidRPr="003E4688">
        <w:t xml:space="preserve"> année</w:t>
      </w:r>
      <w:r w:rsidR="00292100" w:rsidRPr="003E4688">
        <w:t xml:space="preserve"> ou en 6</w:t>
      </w:r>
      <w:r w:rsidR="00292100" w:rsidRPr="003E4688">
        <w:rPr>
          <w:vertAlign w:val="superscript"/>
        </w:rPr>
        <w:t>e</w:t>
      </w:r>
      <w:r w:rsidR="00292100" w:rsidRPr="003E4688">
        <w:t xml:space="preserve"> année</w:t>
      </w:r>
      <w:r w:rsidRPr="003E4688">
        <w:t>, pourront être abordé</w:t>
      </w:r>
      <w:r w:rsidR="00850105">
        <w:t>s</w:t>
      </w:r>
      <w:r w:rsidRPr="003E4688">
        <w:t xml:space="preserve"> de manière théorique, au moment où </w:t>
      </w:r>
      <w:r w:rsidR="00850105">
        <w:t>ceux-</w:t>
      </w:r>
      <w:r w:rsidRPr="003E4688">
        <w:t>ci doivent être utilisé</w:t>
      </w:r>
      <w:r w:rsidR="00B65BFD" w:rsidRPr="003E4688">
        <w:t>s</w:t>
      </w:r>
      <w:r w:rsidRPr="003E4688">
        <w:t xml:space="preserve"> dans le cadre d’une activité complexe. Il s’agit donc bien d’une intégration des nouveaux savoirs dans une situation où ils ont toute leur utilité dans le cadre </w:t>
      </w:r>
      <w:r w:rsidR="007B5542" w:rsidRPr="003E4688">
        <w:t>de la mise en œuvre des différentes compétences du programme.</w:t>
      </w:r>
    </w:p>
    <w:p w14:paraId="6706E21A" w14:textId="0C2EFD95" w:rsidR="006059FC" w:rsidRDefault="006059FC" w:rsidP="0043085E">
      <w:pPr>
        <w:spacing w:line="276" w:lineRule="auto"/>
        <w:jc w:val="both"/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48C1" w:rsidRPr="00E67C24" w14:paraId="5B4FEFDE" w14:textId="77777777" w:rsidTr="005F34E9">
        <w:trPr>
          <w:cantSplit/>
          <w:trHeight w:val="338"/>
        </w:trPr>
        <w:tc>
          <w:tcPr>
            <w:tcW w:w="10206" w:type="dxa"/>
          </w:tcPr>
          <w:p w14:paraId="3DB9555A" w14:textId="6592277E" w:rsidR="002A48C1" w:rsidRPr="00E67C24" w:rsidRDefault="002A48C1" w:rsidP="00CE59D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UAA1 : Normes  et conséquences</w:t>
            </w:r>
          </w:p>
        </w:tc>
      </w:tr>
      <w:tr w:rsidR="002A48C1" w14:paraId="7685EDD6" w14:textId="77777777" w:rsidTr="005F34E9">
        <w:tc>
          <w:tcPr>
            <w:tcW w:w="10206" w:type="dxa"/>
          </w:tcPr>
          <w:p w14:paraId="0FFFB64F" w14:textId="09600391" w:rsidR="002A48C1" w:rsidRPr="00872A80" w:rsidRDefault="002A48C1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Raison d’être des lois</w:t>
            </w:r>
          </w:p>
        </w:tc>
      </w:tr>
      <w:tr w:rsidR="002A48C1" w14:paraId="5DF5F8DF" w14:textId="77777777" w:rsidTr="005F34E9">
        <w:tc>
          <w:tcPr>
            <w:tcW w:w="10206" w:type="dxa"/>
          </w:tcPr>
          <w:p w14:paraId="588D1EF9" w14:textId="6EF4AB8B" w:rsidR="002A48C1" w:rsidRPr="00872A80" w:rsidRDefault="002A48C1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Juridictions civiles et pénales</w:t>
            </w:r>
          </w:p>
        </w:tc>
      </w:tr>
      <w:tr w:rsidR="002A48C1" w14:paraId="78FB40E7" w14:textId="77777777" w:rsidTr="005F34E9">
        <w:tc>
          <w:tcPr>
            <w:tcW w:w="10206" w:type="dxa"/>
          </w:tcPr>
          <w:p w14:paraId="52A2B6B2" w14:textId="0ADA6837" w:rsidR="002A48C1" w:rsidRPr="00872A80" w:rsidRDefault="002A48C1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Responsabilité civile et pénale</w:t>
            </w:r>
          </w:p>
        </w:tc>
      </w:tr>
      <w:tr w:rsidR="002A48C1" w14:paraId="1C882464" w14:textId="77777777" w:rsidTr="005F34E9">
        <w:tc>
          <w:tcPr>
            <w:tcW w:w="10206" w:type="dxa"/>
          </w:tcPr>
          <w:p w14:paraId="46D8E067" w14:textId="259A37EC" w:rsidR="002A48C1" w:rsidRPr="00872A80" w:rsidRDefault="002A48C1" w:rsidP="00F77F0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Normes, valeurs, agents de socialisation</w:t>
            </w:r>
          </w:p>
        </w:tc>
      </w:tr>
    </w:tbl>
    <w:p w14:paraId="72544F4F" w14:textId="68B1B4EF" w:rsidR="00012B3B" w:rsidRDefault="00012B3B"/>
    <w:p w14:paraId="047729B7" w14:textId="77777777" w:rsidR="00012B3B" w:rsidRDefault="00012B3B">
      <w:r>
        <w:br w:type="page"/>
      </w:r>
    </w:p>
    <w:p w14:paraId="0701BCB9" w14:textId="77777777" w:rsidR="00C811C9" w:rsidRDefault="00C811C9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48C1" w:rsidRPr="00E67C24" w14:paraId="23999F50" w14:textId="77777777" w:rsidTr="005F34E9">
        <w:tc>
          <w:tcPr>
            <w:tcW w:w="10206" w:type="dxa"/>
          </w:tcPr>
          <w:p w14:paraId="6C226260" w14:textId="0314C9F1" w:rsidR="002A48C1" w:rsidRPr="00E67C24" w:rsidRDefault="002A48C1" w:rsidP="00CE59D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UAA2 : Budget et droit</w:t>
            </w:r>
          </w:p>
        </w:tc>
      </w:tr>
      <w:tr w:rsidR="002A48C1" w14:paraId="4DD69D84" w14:textId="77777777" w:rsidTr="005F34E9">
        <w:tc>
          <w:tcPr>
            <w:tcW w:w="10206" w:type="dxa"/>
          </w:tcPr>
          <w:p w14:paraId="5B0A5F51" w14:textId="359F09BC" w:rsidR="002A48C1" w:rsidRPr="00872A80" w:rsidRDefault="002A48C1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 de location/vente (mentions légales)</w:t>
            </w:r>
          </w:p>
        </w:tc>
      </w:tr>
      <w:tr w:rsidR="002A48C1" w14:paraId="5402E321" w14:textId="77777777" w:rsidTr="005F34E9">
        <w:tc>
          <w:tcPr>
            <w:tcW w:w="10206" w:type="dxa"/>
          </w:tcPr>
          <w:p w14:paraId="53425EE6" w14:textId="60841FE2" w:rsidR="002A48C1" w:rsidRPr="00872A80" w:rsidRDefault="002A48C1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du ménage</w:t>
            </w:r>
          </w:p>
        </w:tc>
      </w:tr>
      <w:tr w:rsidR="002A48C1" w14:paraId="7A5B7A04" w14:textId="77777777" w:rsidTr="005F34E9">
        <w:tc>
          <w:tcPr>
            <w:tcW w:w="10206" w:type="dxa"/>
          </w:tcPr>
          <w:p w14:paraId="18F33D83" w14:textId="09112187" w:rsidR="002A48C1" w:rsidRPr="00872A80" w:rsidRDefault="002A48C1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Principaux types de crédit aux particuliers</w:t>
            </w:r>
          </w:p>
        </w:tc>
      </w:tr>
      <w:tr w:rsidR="002A48C1" w14:paraId="1B28A5E5" w14:textId="77777777" w:rsidTr="005F34E9">
        <w:tc>
          <w:tcPr>
            <w:tcW w:w="10206" w:type="dxa"/>
          </w:tcPr>
          <w:p w14:paraId="1C13FF2D" w14:textId="0297BEF9" w:rsidR="002A48C1" w:rsidRPr="00872A80" w:rsidRDefault="002A48C1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Seuil de pauvreté, exclusion sociale, surendettement</w:t>
            </w:r>
          </w:p>
        </w:tc>
      </w:tr>
      <w:tr w:rsidR="002A48C1" w14:paraId="6E663135" w14:textId="77777777" w:rsidTr="005F34E9">
        <w:tc>
          <w:tcPr>
            <w:tcW w:w="10206" w:type="dxa"/>
          </w:tcPr>
          <w:p w14:paraId="65FF323C" w14:textId="28F70D8B" w:rsidR="002A48C1" w:rsidRPr="00872A80" w:rsidRDefault="002A48C1" w:rsidP="002D6DF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Institutions économiques, sociales et judiciaires </w:t>
            </w:r>
          </w:p>
        </w:tc>
      </w:tr>
    </w:tbl>
    <w:p w14:paraId="206364D4" w14:textId="77777777" w:rsidR="00E33BCD" w:rsidRDefault="00E33BCD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48C1" w:rsidRPr="00E67C24" w14:paraId="3974C2B0" w14:textId="77777777" w:rsidTr="005F34E9">
        <w:trPr>
          <w:cantSplit/>
          <w:trHeight w:val="338"/>
        </w:trPr>
        <w:tc>
          <w:tcPr>
            <w:tcW w:w="10206" w:type="dxa"/>
          </w:tcPr>
          <w:p w14:paraId="4D0BEB00" w14:textId="1F9C9E4C" w:rsidR="002A48C1" w:rsidRPr="00E67C24" w:rsidRDefault="002A48C1" w:rsidP="00C062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UAA3 : La consommation</w:t>
            </w:r>
          </w:p>
        </w:tc>
      </w:tr>
      <w:tr w:rsidR="002A48C1" w14:paraId="5D0BCD5C" w14:textId="77777777" w:rsidTr="005F34E9">
        <w:tc>
          <w:tcPr>
            <w:tcW w:w="10206" w:type="dxa"/>
          </w:tcPr>
          <w:p w14:paraId="4F5D9DE6" w14:textId="7B131E75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Besoins, biens et services</w:t>
            </w:r>
          </w:p>
        </w:tc>
      </w:tr>
      <w:tr w:rsidR="002A48C1" w14:paraId="3CA35300" w14:textId="77777777" w:rsidTr="005F34E9">
        <w:tc>
          <w:tcPr>
            <w:tcW w:w="10206" w:type="dxa"/>
          </w:tcPr>
          <w:p w14:paraId="28D2293A" w14:textId="635CD173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Déterminants de la consommation</w:t>
            </w:r>
          </w:p>
        </w:tc>
      </w:tr>
      <w:tr w:rsidR="002A48C1" w14:paraId="1D922EF8" w14:textId="77777777" w:rsidTr="005F34E9">
        <w:tc>
          <w:tcPr>
            <w:tcW w:w="10206" w:type="dxa"/>
          </w:tcPr>
          <w:p w14:paraId="60B3F9A5" w14:textId="7F24205B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Techniques de marketing</w:t>
            </w:r>
          </w:p>
        </w:tc>
      </w:tr>
    </w:tbl>
    <w:p w14:paraId="2DD75260" w14:textId="172A6988" w:rsidR="0073087B" w:rsidRDefault="0073087B" w:rsidP="0043085E">
      <w:pPr>
        <w:spacing w:line="276" w:lineRule="auto"/>
        <w:jc w:val="both"/>
        <w:rPr>
          <w:color w:val="FF0000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48C1" w:rsidRPr="00E67C24" w14:paraId="4D01B6F3" w14:textId="77777777" w:rsidTr="005F34E9">
        <w:trPr>
          <w:cantSplit/>
          <w:trHeight w:val="338"/>
        </w:trPr>
        <w:tc>
          <w:tcPr>
            <w:tcW w:w="10206" w:type="dxa"/>
          </w:tcPr>
          <w:p w14:paraId="157F1336" w14:textId="130964B7" w:rsidR="002A48C1" w:rsidRPr="00E67C24" w:rsidRDefault="002A48C1" w:rsidP="00C062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UAA4 : Interactions médiatiques</w:t>
            </w:r>
          </w:p>
        </w:tc>
      </w:tr>
      <w:tr w:rsidR="002A48C1" w14:paraId="0E45F02D" w14:textId="77777777" w:rsidTr="005F34E9">
        <w:tc>
          <w:tcPr>
            <w:tcW w:w="10206" w:type="dxa"/>
          </w:tcPr>
          <w:p w14:paraId="55D4693C" w14:textId="57F036C4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Principes du droit en rapport avec les médias</w:t>
            </w:r>
          </w:p>
        </w:tc>
      </w:tr>
      <w:tr w:rsidR="002A48C1" w14:paraId="0871C57F" w14:textId="77777777" w:rsidTr="005F34E9">
        <w:tc>
          <w:tcPr>
            <w:tcW w:w="10206" w:type="dxa"/>
          </w:tcPr>
          <w:p w14:paraId="2C1B98FC" w14:textId="4E1B4830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Modes de financement des médias</w:t>
            </w:r>
          </w:p>
        </w:tc>
      </w:tr>
      <w:tr w:rsidR="002A48C1" w14:paraId="144BC730" w14:textId="77777777" w:rsidTr="005F34E9">
        <w:tc>
          <w:tcPr>
            <w:tcW w:w="10206" w:type="dxa"/>
          </w:tcPr>
          <w:p w14:paraId="0FB24BDE" w14:textId="05EFD686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Identité personnelle, collective, groupe d’appartenance, influence sociale</w:t>
            </w:r>
          </w:p>
        </w:tc>
      </w:tr>
    </w:tbl>
    <w:p w14:paraId="0F7C7D3E" w14:textId="5F3A7FB0" w:rsidR="00954A0D" w:rsidRDefault="00954A0D" w:rsidP="0043085E">
      <w:pPr>
        <w:spacing w:line="276" w:lineRule="auto"/>
        <w:jc w:val="both"/>
        <w:rPr>
          <w:color w:val="FF0000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48C1" w:rsidRPr="00E67C24" w14:paraId="5AD85952" w14:textId="77777777" w:rsidTr="005F34E9">
        <w:trPr>
          <w:cantSplit/>
          <w:trHeight w:val="338"/>
        </w:trPr>
        <w:tc>
          <w:tcPr>
            <w:tcW w:w="10206" w:type="dxa"/>
          </w:tcPr>
          <w:p w14:paraId="41020441" w14:textId="2B2822A2" w:rsidR="002A48C1" w:rsidRPr="00E67C24" w:rsidRDefault="002A48C1" w:rsidP="00C062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UAA5 : Le marché du travail</w:t>
            </w:r>
          </w:p>
        </w:tc>
      </w:tr>
      <w:tr w:rsidR="002A48C1" w14:paraId="6C508D1D" w14:textId="77777777" w:rsidTr="005F34E9">
        <w:tc>
          <w:tcPr>
            <w:tcW w:w="10206" w:type="dxa"/>
          </w:tcPr>
          <w:p w14:paraId="38E77CC0" w14:textId="32FA0EE2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Statuts du travailleur</w:t>
            </w:r>
          </w:p>
        </w:tc>
      </w:tr>
      <w:tr w:rsidR="002A48C1" w14:paraId="102386AD" w14:textId="77777777" w:rsidTr="005F34E9">
        <w:tc>
          <w:tcPr>
            <w:tcW w:w="10206" w:type="dxa"/>
          </w:tcPr>
          <w:p w14:paraId="69428EAA" w14:textId="750B1F5A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 de travail</w:t>
            </w:r>
          </w:p>
        </w:tc>
      </w:tr>
      <w:tr w:rsidR="002A48C1" w14:paraId="04241618" w14:textId="77777777" w:rsidTr="005F34E9">
        <w:tc>
          <w:tcPr>
            <w:tcW w:w="10206" w:type="dxa"/>
          </w:tcPr>
          <w:p w14:paraId="3DF2494E" w14:textId="17ED9110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Fiche de paie</w:t>
            </w:r>
          </w:p>
        </w:tc>
      </w:tr>
      <w:tr w:rsidR="002A48C1" w14:paraId="4B30FD0B" w14:textId="77777777" w:rsidTr="005F34E9">
        <w:tc>
          <w:tcPr>
            <w:tcW w:w="10206" w:type="dxa"/>
          </w:tcPr>
          <w:p w14:paraId="7770580E" w14:textId="24237506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Indexation et pouvoir d’achat</w:t>
            </w:r>
          </w:p>
        </w:tc>
      </w:tr>
      <w:tr w:rsidR="002A48C1" w14:paraId="109CF761" w14:textId="77777777" w:rsidTr="005F34E9">
        <w:tc>
          <w:tcPr>
            <w:tcW w:w="10206" w:type="dxa"/>
          </w:tcPr>
          <w:p w14:paraId="31686E02" w14:textId="25723DEA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Marché du travail : statistiques</w:t>
            </w:r>
          </w:p>
        </w:tc>
      </w:tr>
      <w:tr w:rsidR="002A48C1" w14:paraId="269864CB" w14:textId="77777777" w:rsidTr="005F34E9">
        <w:tc>
          <w:tcPr>
            <w:tcW w:w="10206" w:type="dxa"/>
          </w:tcPr>
          <w:p w14:paraId="70CAF46A" w14:textId="780F5755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Organismes de représentation des travailleurs et employeurs</w:t>
            </w:r>
          </w:p>
        </w:tc>
      </w:tr>
    </w:tbl>
    <w:p w14:paraId="784754DC" w14:textId="3F5F855B" w:rsidR="00D263B2" w:rsidRDefault="00D263B2" w:rsidP="0043085E">
      <w:pPr>
        <w:spacing w:line="276" w:lineRule="auto"/>
        <w:jc w:val="both"/>
        <w:rPr>
          <w:color w:val="FF0000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48C1" w:rsidRPr="00E67C24" w14:paraId="7A3587C3" w14:textId="77777777" w:rsidTr="005F34E9">
        <w:trPr>
          <w:cantSplit/>
          <w:trHeight w:val="338"/>
        </w:trPr>
        <w:tc>
          <w:tcPr>
            <w:tcW w:w="10206" w:type="dxa"/>
          </w:tcPr>
          <w:p w14:paraId="5673929E" w14:textId="5DA77EBF" w:rsidR="002A48C1" w:rsidRPr="00E67C24" w:rsidRDefault="002A48C1" w:rsidP="00C062B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UAA6 : Le citoyen et l’Etat</w:t>
            </w:r>
          </w:p>
        </w:tc>
      </w:tr>
      <w:tr w:rsidR="002A48C1" w14:paraId="17C1BC57" w14:textId="77777777" w:rsidTr="005F34E9">
        <w:tc>
          <w:tcPr>
            <w:tcW w:w="10206" w:type="dxa"/>
          </w:tcPr>
          <w:p w14:paraId="72A63847" w14:textId="0734795F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Niveaux de pouvoir</w:t>
            </w:r>
          </w:p>
        </w:tc>
      </w:tr>
      <w:tr w:rsidR="002A48C1" w14:paraId="105B6FD1" w14:textId="77777777" w:rsidTr="005F34E9">
        <w:tc>
          <w:tcPr>
            <w:tcW w:w="10206" w:type="dxa"/>
          </w:tcPr>
          <w:p w14:paraId="7E631D75" w14:textId="19375FCA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Système électoral et partis politiques</w:t>
            </w:r>
          </w:p>
        </w:tc>
      </w:tr>
      <w:tr w:rsidR="002A48C1" w14:paraId="3A4C9280" w14:textId="77777777" w:rsidTr="005F34E9">
        <w:tc>
          <w:tcPr>
            <w:tcW w:w="10206" w:type="dxa"/>
          </w:tcPr>
          <w:p w14:paraId="1EDD637E" w14:textId="039A6738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Principales recettes et dépenses de l’Etat</w:t>
            </w:r>
          </w:p>
        </w:tc>
      </w:tr>
      <w:tr w:rsidR="002A48C1" w14:paraId="16373302" w14:textId="77777777" w:rsidTr="005F34E9">
        <w:tc>
          <w:tcPr>
            <w:tcW w:w="10206" w:type="dxa"/>
          </w:tcPr>
          <w:p w14:paraId="269CF917" w14:textId="5423EA11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Procédure d’imposition à l’IPP</w:t>
            </w:r>
          </w:p>
        </w:tc>
      </w:tr>
      <w:tr w:rsidR="002A48C1" w14:paraId="5FAE3985" w14:textId="77777777" w:rsidTr="005F34E9">
        <w:tc>
          <w:tcPr>
            <w:tcW w:w="10206" w:type="dxa"/>
          </w:tcPr>
          <w:p w14:paraId="5EACA1E0" w14:textId="730F536B" w:rsidR="002A48C1" w:rsidRPr="00872A80" w:rsidRDefault="002A48C1" w:rsidP="00C062B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Rôle et fonctionnement de la sécurité sociale</w:t>
            </w:r>
          </w:p>
        </w:tc>
      </w:tr>
    </w:tbl>
    <w:p w14:paraId="751FA296" w14:textId="6ACA94A5" w:rsidR="000C05A1" w:rsidRDefault="000C05A1" w:rsidP="000C05A1">
      <w:pPr>
        <w:tabs>
          <w:tab w:val="left" w:pos="4250"/>
        </w:tabs>
      </w:pPr>
      <w:r>
        <w:tab/>
      </w:r>
    </w:p>
    <w:p w14:paraId="1E210B7D" w14:textId="77777777" w:rsidR="000C05A1" w:rsidRDefault="000C05A1" w:rsidP="000C05A1">
      <w:pPr>
        <w:spacing w:line="276" w:lineRule="auto"/>
        <w:jc w:val="both"/>
      </w:pPr>
      <w:r>
        <w:t>Pour toute question complémentaire, n’hésitez pas à nous contacter :</w:t>
      </w:r>
    </w:p>
    <w:p w14:paraId="74C27873" w14:textId="77777777" w:rsidR="000C05A1" w:rsidRDefault="00680504" w:rsidP="000C05A1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0C05A1">
          <w:rPr>
            <w:rStyle w:val="Lienhypertexte"/>
          </w:rPr>
          <w:t>jeanmarie.bauduin@segec.be</w:t>
        </w:r>
      </w:hyperlink>
    </w:p>
    <w:p w14:paraId="6393BCE6" w14:textId="77777777" w:rsidR="000C05A1" w:rsidRDefault="00680504" w:rsidP="000C05A1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0C05A1">
          <w:rPr>
            <w:rStyle w:val="Lienhypertexte"/>
          </w:rPr>
          <w:t>catherine.libert@segec.be</w:t>
        </w:r>
      </w:hyperlink>
    </w:p>
    <w:p w14:paraId="35C2BDC4" w14:textId="29A18BB8" w:rsidR="000C05A1" w:rsidRPr="00F566F1" w:rsidRDefault="00680504" w:rsidP="000C05A1">
      <w:pPr>
        <w:pStyle w:val="Paragraphedeliste"/>
        <w:numPr>
          <w:ilvl w:val="0"/>
          <w:numId w:val="45"/>
        </w:numPr>
        <w:spacing w:before="0" w:line="276" w:lineRule="auto"/>
        <w:jc w:val="both"/>
        <w:rPr>
          <w:rStyle w:val="Lienhypertexte"/>
          <w:rFonts w:cs="Calibri"/>
          <w:color w:val="auto"/>
          <w:u w:val="none"/>
        </w:rPr>
      </w:pPr>
      <w:hyperlink r:id="rId15" w:history="1">
        <w:r w:rsidR="000C05A1">
          <w:rPr>
            <w:rStyle w:val="Lienhypertexte"/>
          </w:rPr>
          <w:t>genevieve.perrad@segec.be</w:t>
        </w:r>
      </w:hyperlink>
    </w:p>
    <w:p w14:paraId="70C39007" w14:textId="77777777" w:rsidR="00A51265" w:rsidRDefault="00A51265" w:rsidP="00F566F1"/>
    <w:p w14:paraId="1D4979EC" w14:textId="6665F70D" w:rsidR="00F566F1" w:rsidRDefault="00F566F1" w:rsidP="00F566F1">
      <w:r>
        <w:t xml:space="preserve">Vous trouverez également de nombreuses informations et ressources sur notre site à l’adresse : </w:t>
      </w:r>
      <w:hyperlink r:id="rId16" w:history="1">
        <w:r w:rsidRPr="00F566F1">
          <w:rPr>
            <w:rStyle w:val="Lienhypertexte"/>
            <w:rFonts w:cs="Calibri"/>
          </w:rPr>
          <w:t>https://ses.fesec.be/</w:t>
        </w:r>
      </w:hyperlink>
    </w:p>
    <w:p w14:paraId="3579CB77" w14:textId="77777777" w:rsidR="00F566F1" w:rsidRDefault="00F566F1" w:rsidP="00F566F1">
      <w:pPr>
        <w:spacing w:line="276" w:lineRule="auto"/>
        <w:jc w:val="both"/>
      </w:pPr>
    </w:p>
    <w:p w14:paraId="78B578AC" w14:textId="77777777" w:rsidR="000C05A1" w:rsidRPr="000C05A1" w:rsidRDefault="000C05A1" w:rsidP="000C05A1">
      <w:pPr>
        <w:tabs>
          <w:tab w:val="left" w:pos="4250"/>
        </w:tabs>
      </w:pPr>
    </w:p>
    <w:sectPr w:rsidR="000C05A1" w:rsidRPr="000C05A1" w:rsidSect="00DE38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10" w:h="16840"/>
      <w:pgMar w:top="1040" w:right="1100" w:bottom="1040" w:left="11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0321" w14:textId="77777777" w:rsidR="0072583E" w:rsidRDefault="0072583E">
      <w:r>
        <w:separator/>
      </w:r>
    </w:p>
  </w:endnote>
  <w:endnote w:type="continuationSeparator" w:id="0">
    <w:p w14:paraId="162BA015" w14:textId="77777777" w:rsidR="0072583E" w:rsidRDefault="0072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8DCE" w14:textId="77777777" w:rsidR="00680504" w:rsidRDefault="006805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B2BE" w14:textId="63B8FD01" w:rsidR="00013E09" w:rsidRPr="00DE38C0" w:rsidRDefault="00DE38C0" w:rsidP="00DE38C0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inline distT="0" distB="0" distL="0" distR="0" wp14:anchorId="54FA393B" wp14:editId="1E726CCB">
          <wp:extent cx="723900" cy="424815"/>
          <wp:effectExtent l="0" t="0" r="0" b="0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491">
      <w:rPr>
        <w:sz w:val="18"/>
        <w:szCs w:val="18"/>
      </w:rPr>
      <w:tab/>
    </w:r>
    <w:r w:rsidR="00680504" w:rsidRPr="002B1491">
      <w:rPr>
        <w:sz w:val="18"/>
        <w:szCs w:val="18"/>
      </w:rPr>
      <w:t xml:space="preserve">Sciences économiques et sociales - </w:t>
    </w:r>
    <w:r w:rsidRPr="00DE38C0">
      <w:rPr>
        <w:sz w:val="18"/>
        <w:szCs w:val="18"/>
      </w:rPr>
      <w:t>Formation-sociale-et-économique</w:t>
    </w:r>
    <w:r>
      <w:rPr>
        <w:sz w:val="18"/>
        <w:szCs w:val="18"/>
      </w:rPr>
      <w:t xml:space="preserve"> </w:t>
    </w:r>
    <w:r w:rsidRPr="002B1491">
      <w:rPr>
        <w:sz w:val="18"/>
        <w:szCs w:val="18"/>
      </w:rPr>
      <w:t xml:space="preserve">– </w:t>
    </w:r>
    <w:r w:rsidRPr="00DE38C0">
      <w:rPr>
        <w:sz w:val="18"/>
        <w:szCs w:val="18"/>
      </w:rPr>
      <w:t>D3-TQ</w:t>
    </w:r>
    <w:bookmarkStart w:id="0" w:name="_GoBack"/>
    <w:bookmarkEnd w:id="0"/>
    <w:r w:rsidRPr="00DE38C0">
      <w:rPr>
        <w:sz w:val="18"/>
        <w:szCs w:val="18"/>
      </w:rPr>
      <w:t xml:space="preserve">-P </w:t>
    </w:r>
    <w:r w:rsidRPr="002B1491">
      <w:rPr>
        <w:sz w:val="18"/>
        <w:szCs w:val="18"/>
      </w:rPr>
      <w:t>– Essentiels</w:t>
    </w:r>
    <w:r w:rsidRPr="002B1491"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EndPr/>
      <w:sdtContent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3</w:t>
        </w:r>
        <w:r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563A" w14:textId="77777777" w:rsidR="00680504" w:rsidRDefault="006805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0D395" w14:textId="77777777" w:rsidR="0072583E" w:rsidRDefault="0072583E">
      <w:r>
        <w:separator/>
      </w:r>
    </w:p>
  </w:footnote>
  <w:footnote w:type="continuationSeparator" w:id="0">
    <w:p w14:paraId="563BB559" w14:textId="77777777" w:rsidR="0072583E" w:rsidRDefault="0072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6317" w14:textId="77777777" w:rsidR="00680504" w:rsidRDefault="006805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F8DE" w14:textId="77777777" w:rsidR="00680504" w:rsidRDefault="006805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7802" w14:textId="77777777" w:rsidR="00680504" w:rsidRDefault="006805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12B3B"/>
    <w:rsid w:val="00013E09"/>
    <w:rsid w:val="000216C2"/>
    <w:rsid w:val="0002194A"/>
    <w:rsid w:val="000220F5"/>
    <w:rsid w:val="000225EE"/>
    <w:rsid w:val="0002496D"/>
    <w:rsid w:val="00026030"/>
    <w:rsid w:val="00026799"/>
    <w:rsid w:val="00032CB1"/>
    <w:rsid w:val="0003608A"/>
    <w:rsid w:val="000370B6"/>
    <w:rsid w:val="0004089D"/>
    <w:rsid w:val="000416DD"/>
    <w:rsid w:val="000443CD"/>
    <w:rsid w:val="000469A3"/>
    <w:rsid w:val="00053DEA"/>
    <w:rsid w:val="000566F0"/>
    <w:rsid w:val="000635AA"/>
    <w:rsid w:val="00064435"/>
    <w:rsid w:val="000654AD"/>
    <w:rsid w:val="00070DE1"/>
    <w:rsid w:val="00071BAC"/>
    <w:rsid w:val="00072EB3"/>
    <w:rsid w:val="00076492"/>
    <w:rsid w:val="00080241"/>
    <w:rsid w:val="000818F2"/>
    <w:rsid w:val="00082600"/>
    <w:rsid w:val="000839AD"/>
    <w:rsid w:val="00091975"/>
    <w:rsid w:val="000931AB"/>
    <w:rsid w:val="000932DD"/>
    <w:rsid w:val="00096070"/>
    <w:rsid w:val="00096469"/>
    <w:rsid w:val="0009774A"/>
    <w:rsid w:val="00097A39"/>
    <w:rsid w:val="000A25FC"/>
    <w:rsid w:val="000B1E9D"/>
    <w:rsid w:val="000B3951"/>
    <w:rsid w:val="000C028B"/>
    <w:rsid w:val="000C05A1"/>
    <w:rsid w:val="000C2866"/>
    <w:rsid w:val="000C559D"/>
    <w:rsid w:val="000D4A3B"/>
    <w:rsid w:val="000D7F1D"/>
    <w:rsid w:val="000E1B2C"/>
    <w:rsid w:val="000E36BA"/>
    <w:rsid w:val="000E5A7C"/>
    <w:rsid w:val="000F1355"/>
    <w:rsid w:val="000F5212"/>
    <w:rsid w:val="000F636C"/>
    <w:rsid w:val="00102353"/>
    <w:rsid w:val="00113EDA"/>
    <w:rsid w:val="00121FF1"/>
    <w:rsid w:val="00127D05"/>
    <w:rsid w:val="00127FE5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81E9B"/>
    <w:rsid w:val="00182F5A"/>
    <w:rsid w:val="00186CF7"/>
    <w:rsid w:val="001878EC"/>
    <w:rsid w:val="00190C86"/>
    <w:rsid w:val="0019605C"/>
    <w:rsid w:val="001A0AC3"/>
    <w:rsid w:val="001A0E17"/>
    <w:rsid w:val="001A3EF0"/>
    <w:rsid w:val="001A416E"/>
    <w:rsid w:val="001B1033"/>
    <w:rsid w:val="001B2E3F"/>
    <w:rsid w:val="001B3F05"/>
    <w:rsid w:val="001C5EEE"/>
    <w:rsid w:val="001C6186"/>
    <w:rsid w:val="001D07BC"/>
    <w:rsid w:val="001D1AB4"/>
    <w:rsid w:val="001D2BF0"/>
    <w:rsid w:val="001D71CE"/>
    <w:rsid w:val="001E2C01"/>
    <w:rsid w:val="001E3266"/>
    <w:rsid w:val="001E6A9A"/>
    <w:rsid w:val="001F045C"/>
    <w:rsid w:val="001F2660"/>
    <w:rsid w:val="001F32B3"/>
    <w:rsid w:val="001F3933"/>
    <w:rsid w:val="001F7498"/>
    <w:rsid w:val="002012FC"/>
    <w:rsid w:val="00202542"/>
    <w:rsid w:val="0020326D"/>
    <w:rsid w:val="0020441B"/>
    <w:rsid w:val="00213350"/>
    <w:rsid w:val="002139AB"/>
    <w:rsid w:val="002141E9"/>
    <w:rsid w:val="00214DBC"/>
    <w:rsid w:val="00216BC7"/>
    <w:rsid w:val="00225671"/>
    <w:rsid w:val="0023320E"/>
    <w:rsid w:val="00243F9D"/>
    <w:rsid w:val="00250481"/>
    <w:rsid w:val="002506BB"/>
    <w:rsid w:val="00251EFF"/>
    <w:rsid w:val="00254761"/>
    <w:rsid w:val="00255D62"/>
    <w:rsid w:val="002614C4"/>
    <w:rsid w:val="00266798"/>
    <w:rsid w:val="00272E9D"/>
    <w:rsid w:val="00274F44"/>
    <w:rsid w:val="00275C33"/>
    <w:rsid w:val="00281347"/>
    <w:rsid w:val="002818B3"/>
    <w:rsid w:val="002857BB"/>
    <w:rsid w:val="00285D08"/>
    <w:rsid w:val="00287D80"/>
    <w:rsid w:val="00292100"/>
    <w:rsid w:val="00294455"/>
    <w:rsid w:val="002A049A"/>
    <w:rsid w:val="002A48C1"/>
    <w:rsid w:val="002A5182"/>
    <w:rsid w:val="002B06E9"/>
    <w:rsid w:val="002B28CB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C7D9C"/>
    <w:rsid w:val="002D0A93"/>
    <w:rsid w:val="002D28EE"/>
    <w:rsid w:val="002D44E9"/>
    <w:rsid w:val="002D4A7C"/>
    <w:rsid w:val="002D62EB"/>
    <w:rsid w:val="002D6DF9"/>
    <w:rsid w:val="002F5445"/>
    <w:rsid w:val="002F610C"/>
    <w:rsid w:val="003014FF"/>
    <w:rsid w:val="003023AD"/>
    <w:rsid w:val="00303854"/>
    <w:rsid w:val="00303A34"/>
    <w:rsid w:val="003069F9"/>
    <w:rsid w:val="00310180"/>
    <w:rsid w:val="0031497D"/>
    <w:rsid w:val="00315FC7"/>
    <w:rsid w:val="0031740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1FF"/>
    <w:rsid w:val="00372973"/>
    <w:rsid w:val="0037514D"/>
    <w:rsid w:val="0037790C"/>
    <w:rsid w:val="00380371"/>
    <w:rsid w:val="00381E82"/>
    <w:rsid w:val="003824C6"/>
    <w:rsid w:val="00390816"/>
    <w:rsid w:val="00394DE8"/>
    <w:rsid w:val="003A1229"/>
    <w:rsid w:val="003A2514"/>
    <w:rsid w:val="003A3288"/>
    <w:rsid w:val="003A5A97"/>
    <w:rsid w:val="003A5B98"/>
    <w:rsid w:val="003B1829"/>
    <w:rsid w:val="003B1A12"/>
    <w:rsid w:val="003B1CE4"/>
    <w:rsid w:val="003B41F3"/>
    <w:rsid w:val="003B7A21"/>
    <w:rsid w:val="003C12AA"/>
    <w:rsid w:val="003D26F2"/>
    <w:rsid w:val="003D6C4C"/>
    <w:rsid w:val="003E2205"/>
    <w:rsid w:val="003E4320"/>
    <w:rsid w:val="003E4688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2D11"/>
    <w:rsid w:val="00403AEB"/>
    <w:rsid w:val="00404902"/>
    <w:rsid w:val="00406B78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6038"/>
    <w:rsid w:val="0045668C"/>
    <w:rsid w:val="0046152F"/>
    <w:rsid w:val="00463B65"/>
    <w:rsid w:val="00466DC3"/>
    <w:rsid w:val="00467E65"/>
    <w:rsid w:val="00470BF6"/>
    <w:rsid w:val="0047245D"/>
    <w:rsid w:val="00474EFF"/>
    <w:rsid w:val="004841A1"/>
    <w:rsid w:val="0048645B"/>
    <w:rsid w:val="00492511"/>
    <w:rsid w:val="00493F0B"/>
    <w:rsid w:val="004956BF"/>
    <w:rsid w:val="00496339"/>
    <w:rsid w:val="00496DBD"/>
    <w:rsid w:val="004977AE"/>
    <w:rsid w:val="00497D29"/>
    <w:rsid w:val="004A0D90"/>
    <w:rsid w:val="004A31EC"/>
    <w:rsid w:val="004A3D16"/>
    <w:rsid w:val="004A3FAD"/>
    <w:rsid w:val="004A3FF0"/>
    <w:rsid w:val="004A6CD1"/>
    <w:rsid w:val="004A7902"/>
    <w:rsid w:val="004B27D6"/>
    <w:rsid w:val="004B338F"/>
    <w:rsid w:val="004C10E5"/>
    <w:rsid w:val="004C15A0"/>
    <w:rsid w:val="004C2945"/>
    <w:rsid w:val="004D1ABC"/>
    <w:rsid w:val="004D6061"/>
    <w:rsid w:val="004D787B"/>
    <w:rsid w:val="004E0D4E"/>
    <w:rsid w:val="004E2527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5B77"/>
    <w:rsid w:val="00526EC5"/>
    <w:rsid w:val="00530543"/>
    <w:rsid w:val="0053362B"/>
    <w:rsid w:val="00533A5F"/>
    <w:rsid w:val="00534B31"/>
    <w:rsid w:val="00537645"/>
    <w:rsid w:val="00545403"/>
    <w:rsid w:val="0054740B"/>
    <w:rsid w:val="00550FA4"/>
    <w:rsid w:val="0055108D"/>
    <w:rsid w:val="00553F92"/>
    <w:rsid w:val="005570A8"/>
    <w:rsid w:val="0055732F"/>
    <w:rsid w:val="00560011"/>
    <w:rsid w:val="0056082C"/>
    <w:rsid w:val="00563DAC"/>
    <w:rsid w:val="00564A0B"/>
    <w:rsid w:val="0056582B"/>
    <w:rsid w:val="00565BAE"/>
    <w:rsid w:val="00565C7E"/>
    <w:rsid w:val="00570178"/>
    <w:rsid w:val="00577CD3"/>
    <w:rsid w:val="00581467"/>
    <w:rsid w:val="00582FD4"/>
    <w:rsid w:val="005836AB"/>
    <w:rsid w:val="005877BC"/>
    <w:rsid w:val="00591FAF"/>
    <w:rsid w:val="00597E8C"/>
    <w:rsid w:val="005A3490"/>
    <w:rsid w:val="005A7925"/>
    <w:rsid w:val="005A794F"/>
    <w:rsid w:val="005B1F87"/>
    <w:rsid w:val="005B427C"/>
    <w:rsid w:val="005B592B"/>
    <w:rsid w:val="005B7CE3"/>
    <w:rsid w:val="005C60E8"/>
    <w:rsid w:val="005C6EFF"/>
    <w:rsid w:val="005C7E40"/>
    <w:rsid w:val="005D3705"/>
    <w:rsid w:val="005D3C43"/>
    <w:rsid w:val="005D4C55"/>
    <w:rsid w:val="005D764B"/>
    <w:rsid w:val="005D7847"/>
    <w:rsid w:val="005E0A64"/>
    <w:rsid w:val="005E3452"/>
    <w:rsid w:val="005E4A1A"/>
    <w:rsid w:val="005F217D"/>
    <w:rsid w:val="005F2208"/>
    <w:rsid w:val="005F34E9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244E5"/>
    <w:rsid w:val="006270DD"/>
    <w:rsid w:val="00627203"/>
    <w:rsid w:val="00631666"/>
    <w:rsid w:val="00636EA6"/>
    <w:rsid w:val="00640BD9"/>
    <w:rsid w:val="00641023"/>
    <w:rsid w:val="006438F7"/>
    <w:rsid w:val="006440FD"/>
    <w:rsid w:val="00644C88"/>
    <w:rsid w:val="00655C9D"/>
    <w:rsid w:val="006564EF"/>
    <w:rsid w:val="00660CB2"/>
    <w:rsid w:val="00662773"/>
    <w:rsid w:val="00667287"/>
    <w:rsid w:val="0067026A"/>
    <w:rsid w:val="00680504"/>
    <w:rsid w:val="00682738"/>
    <w:rsid w:val="00682896"/>
    <w:rsid w:val="006854BB"/>
    <w:rsid w:val="00692B1A"/>
    <w:rsid w:val="00693012"/>
    <w:rsid w:val="006A21A3"/>
    <w:rsid w:val="006A3D0E"/>
    <w:rsid w:val="006A4855"/>
    <w:rsid w:val="006A7A48"/>
    <w:rsid w:val="006B1AFC"/>
    <w:rsid w:val="006B2AE9"/>
    <w:rsid w:val="006B339F"/>
    <w:rsid w:val="006B3FCC"/>
    <w:rsid w:val="006B664B"/>
    <w:rsid w:val="006C1E7B"/>
    <w:rsid w:val="006C2934"/>
    <w:rsid w:val="006C3583"/>
    <w:rsid w:val="006C3891"/>
    <w:rsid w:val="006C4A83"/>
    <w:rsid w:val="006C567E"/>
    <w:rsid w:val="006D0EBE"/>
    <w:rsid w:val="006D22F3"/>
    <w:rsid w:val="006E0F05"/>
    <w:rsid w:val="006E1164"/>
    <w:rsid w:val="006E1886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20378"/>
    <w:rsid w:val="0072515D"/>
    <w:rsid w:val="0072583E"/>
    <w:rsid w:val="00726052"/>
    <w:rsid w:val="007278E7"/>
    <w:rsid w:val="0073085E"/>
    <w:rsid w:val="0073087B"/>
    <w:rsid w:val="00730A61"/>
    <w:rsid w:val="00730EE6"/>
    <w:rsid w:val="00732304"/>
    <w:rsid w:val="00734AE3"/>
    <w:rsid w:val="0074008D"/>
    <w:rsid w:val="0074187F"/>
    <w:rsid w:val="007428FA"/>
    <w:rsid w:val="00745602"/>
    <w:rsid w:val="007518F0"/>
    <w:rsid w:val="00752FAF"/>
    <w:rsid w:val="00756D95"/>
    <w:rsid w:val="00757EE9"/>
    <w:rsid w:val="00761480"/>
    <w:rsid w:val="0077265B"/>
    <w:rsid w:val="00775488"/>
    <w:rsid w:val="00777F52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542"/>
    <w:rsid w:val="007B5D8B"/>
    <w:rsid w:val="007B6622"/>
    <w:rsid w:val="007B6722"/>
    <w:rsid w:val="007C00AF"/>
    <w:rsid w:val="007C0232"/>
    <w:rsid w:val="007C3152"/>
    <w:rsid w:val="007C39C2"/>
    <w:rsid w:val="007C5D5E"/>
    <w:rsid w:val="007C5EC8"/>
    <w:rsid w:val="007C6275"/>
    <w:rsid w:val="007D01E6"/>
    <w:rsid w:val="007D3D86"/>
    <w:rsid w:val="007D4B0B"/>
    <w:rsid w:val="007D4BBC"/>
    <w:rsid w:val="007E1EF3"/>
    <w:rsid w:val="007E4A3E"/>
    <w:rsid w:val="007F1263"/>
    <w:rsid w:val="007F1C05"/>
    <w:rsid w:val="007F6C70"/>
    <w:rsid w:val="007F7561"/>
    <w:rsid w:val="007F7EDD"/>
    <w:rsid w:val="008022A4"/>
    <w:rsid w:val="008028AF"/>
    <w:rsid w:val="00803899"/>
    <w:rsid w:val="00804707"/>
    <w:rsid w:val="00814C44"/>
    <w:rsid w:val="00815400"/>
    <w:rsid w:val="00815A40"/>
    <w:rsid w:val="008217EE"/>
    <w:rsid w:val="00824B6F"/>
    <w:rsid w:val="00825DA0"/>
    <w:rsid w:val="0083208E"/>
    <w:rsid w:val="00834F10"/>
    <w:rsid w:val="0083570A"/>
    <w:rsid w:val="00837D74"/>
    <w:rsid w:val="00843EF3"/>
    <w:rsid w:val="00843FA8"/>
    <w:rsid w:val="008446CF"/>
    <w:rsid w:val="008468C3"/>
    <w:rsid w:val="00847160"/>
    <w:rsid w:val="00850105"/>
    <w:rsid w:val="008519FB"/>
    <w:rsid w:val="00852517"/>
    <w:rsid w:val="00855479"/>
    <w:rsid w:val="00855826"/>
    <w:rsid w:val="008601D1"/>
    <w:rsid w:val="0086426C"/>
    <w:rsid w:val="008660E1"/>
    <w:rsid w:val="00866229"/>
    <w:rsid w:val="0087026A"/>
    <w:rsid w:val="008702FF"/>
    <w:rsid w:val="00872A80"/>
    <w:rsid w:val="00880B38"/>
    <w:rsid w:val="00883024"/>
    <w:rsid w:val="00884371"/>
    <w:rsid w:val="00884ECE"/>
    <w:rsid w:val="00885E9F"/>
    <w:rsid w:val="0088657D"/>
    <w:rsid w:val="008921EB"/>
    <w:rsid w:val="00893D72"/>
    <w:rsid w:val="00896E1F"/>
    <w:rsid w:val="008978EC"/>
    <w:rsid w:val="008A1934"/>
    <w:rsid w:val="008A3002"/>
    <w:rsid w:val="008A44AA"/>
    <w:rsid w:val="008B0394"/>
    <w:rsid w:val="008B05F3"/>
    <w:rsid w:val="008B1393"/>
    <w:rsid w:val="008B2238"/>
    <w:rsid w:val="008B4071"/>
    <w:rsid w:val="008B523C"/>
    <w:rsid w:val="008B53F4"/>
    <w:rsid w:val="008B6629"/>
    <w:rsid w:val="008C0028"/>
    <w:rsid w:val="008C283F"/>
    <w:rsid w:val="008C5B14"/>
    <w:rsid w:val="008C62B0"/>
    <w:rsid w:val="008C7F6B"/>
    <w:rsid w:val="008D2FA9"/>
    <w:rsid w:val="008D3834"/>
    <w:rsid w:val="008D75A5"/>
    <w:rsid w:val="008E146D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7D44"/>
    <w:rsid w:val="00922BE3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4A0D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31D"/>
    <w:rsid w:val="009876B4"/>
    <w:rsid w:val="00990D5B"/>
    <w:rsid w:val="0099510C"/>
    <w:rsid w:val="009A106E"/>
    <w:rsid w:val="009A1CC2"/>
    <w:rsid w:val="009A45C2"/>
    <w:rsid w:val="009B70DF"/>
    <w:rsid w:val="009C1D10"/>
    <w:rsid w:val="009C4212"/>
    <w:rsid w:val="009C5887"/>
    <w:rsid w:val="009D0422"/>
    <w:rsid w:val="009D34EA"/>
    <w:rsid w:val="009D402A"/>
    <w:rsid w:val="009D5917"/>
    <w:rsid w:val="009E1A21"/>
    <w:rsid w:val="009E2462"/>
    <w:rsid w:val="009E651B"/>
    <w:rsid w:val="009E6F8F"/>
    <w:rsid w:val="009F08C8"/>
    <w:rsid w:val="009F2BF4"/>
    <w:rsid w:val="009F2C4F"/>
    <w:rsid w:val="009F6788"/>
    <w:rsid w:val="009F7262"/>
    <w:rsid w:val="009F73AB"/>
    <w:rsid w:val="00A062E5"/>
    <w:rsid w:val="00A06754"/>
    <w:rsid w:val="00A237D0"/>
    <w:rsid w:val="00A25920"/>
    <w:rsid w:val="00A2674B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265"/>
    <w:rsid w:val="00A51E3B"/>
    <w:rsid w:val="00A52F16"/>
    <w:rsid w:val="00A5361B"/>
    <w:rsid w:val="00A54D7F"/>
    <w:rsid w:val="00A603B7"/>
    <w:rsid w:val="00A64DD8"/>
    <w:rsid w:val="00A71940"/>
    <w:rsid w:val="00A73B90"/>
    <w:rsid w:val="00A827E3"/>
    <w:rsid w:val="00A8314A"/>
    <w:rsid w:val="00A84465"/>
    <w:rsid w:val="00A85A2E"/>
    <w:rsid w:val="00A91115"/>
    <w:rsid w:val="00A93E8C"/>
    <w:rsid w:val="00A95B7A"/>
    <w:rsid w:val="00AA22A0"/>
    <w:rsid w:val="00AA39E3"/>
    <w:rsid w:val="00AA3E87"/>
    <w:rsid w:val="00AB0638"/>
    <w:rsid w:val="00AB0F06"/>
    <w:rsid w:val="00AB109C"/>
    <w:rsid w:val="00AB229E"/>
    <w:rsid w:val="00AB3FF7"/>
    <w:rsid w:val="00AB4928"/>
    <w:rsid w:val="00AC15EA"/>
    <w:rsid w:val="00AD24BA"/>
    <w:rsid w:val="00AD7629"/>
    <w:rsid w:val="00AE056D"/>
    <w:rsid w:val="00AE4E93"/>
    <w:rsid w:val="00AE5EF7"/>
    <w:rsid w:val="00AE6C28"/>
    <w:rsid w:val="00AF2ABC"/>
    <w:rsid w:val="00AF2C67"/>
    <w:rsid w:val="00AF4DB2"/>
    <w:rsid w:val="00AF7747"/>
    <w:rsid w:val="00B018F2"/>
    <w:rsid w:val="00B02508"/>
    <w:rsid w:val="00B025E2"/>
    <w:rsid w:val="00B02E1C"/>
    <w:rsid w:val="00B03657"/>
    <w:rsid w:val="00B03935"/>
    <w:rsid w:val="00B1153B"/>
    <w:rsid w:val="00B11C52"/>
    <w:rsid w:val="00B173EA"/>
    <w:rsid w:val="00B2056F"/>
    <w:rsid w:val="00B240B9"/>
    <w:rsid w:val="00B24D5E"/>
    <w:rsid w:val="00B25DA6"/>
    <w:rsid w:val="00B27037"/>
    <w:rsid w:val="00B33AD9"/>
    <w:rsid w:val="00B351BF"/>
    <w:rsid w:val="00B364D3"/>
    <w:rsid w:val="00B40E40"/>
    <w:rsid w:val="00B418E4"/>
    <w:rsid w:val="00B4464A"/>
    <w:rsid w:val="00B450C8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65BFD"/>
    <w:rsid w:val="00B7116B"/>
    <w:rsid w:val="00B73285"/>
    <w:rsid w:val="00B769E1"/>
    <w:rsid w:val="00B80D70"/>
    <w:rsid w:val="00B81D7E"/>
    <w:rsid w:val="00B84B9B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1E8D"/>
    <w:rsid w:val="00BD3AD9"/>
    <w:rsid w:val="00BD644B"/>
    <w:rsid w:val="00BD66AE"/>
    <w:rsid w:val="00BD76F0"/>
    <w:rsid w:val="00BE1DF5"/>
    <w:rsid w:val="00BE5CE1"/>
    <w:rsid w:val="00BF1DEF"/>
    <w:rsid w:val="00BF206A"/>
    <w:rsid w:val="00BF3CA9"/>
    <w:rsid w:val="00C007B5"/>
    <w:rsid w:val="00C035A0"/>
    <w:rsid w:val="00C066D7"/>
    <w:rsid w:val="00C148AE"/>
    <w:rsid w:val="00C167FC"/>
    <w:rsid w:val="00C2134A"/>
    <w:rsid w:val="00C2294C"/>
    <w:rsid w:val="00C24688"/>
    <w:rsid w:val="00C24C33"/>
    <w:rsid w:val="00C25828"/>
    <w:rsid w:val="00C31688"/>
    <w:rsid w:val="00C32BF1"/>
    <w:rsid w:val="00C32D5F"/>
    <w:rsid w:val="00C448A4"/>
    <w:rsid w:val="00C468E7"/>
    <w:rsid w:val="00C53409"/>
    <w:rsid w:val="00C56340"/>
    <w:rsid w:val="00C567B3"/>
    <w:rsid w:val="00C57449"/>
    <w:rsid w:val="00C62541"/>
    <w:rsid w:val="00C63E92"/>
    <w:rsid w:val="00C668C7"/>
    <w:rsid w:val="00C71E0F"/>
    <w:rsid w:val="00C72F3B"/>
    <w:rsid w:val="00C74641"/>
    <w:rsid w:val="00C746D6"/>
    <w:rsid w:val="00C7499A"/>
    <w:rsid w:val="00C77097"/>
    <w:rsid w:val="00C80BB6"/>
    <w:rsid w:val="00C811C9"/>
    <w:rsid w:val="00C81B23"/>
    <w:rsid w:val="00C841C2"/>
    <w:rsid w:val="00C85823"/>
    <w:rsid w:val="00C90D9B"/>
    <w:rsid w:val="00C92B25"/>
    <w:rsid w:val="00C960B3"/>
    <w:rsid w:val="00C963F3"/>
    <w:rsid w:val="00C9658E"/>
    <w:rsid w:val="00C96D2A"/>
    <w:rsid w:val="00C96E21"/>
    <w:rsid w:val="00CA0263"/>
    <w:rsid w:val="00CA48D0"/>
    <w:rsid w:val="00CA5CC0"/>
    <w:rsid w:val="00CB2C73"/>
    <w:rsid w:val="00CB3BB4"/>
    <w:rsid w:val="00CC08BC"/>
    <w:rsid w:val="00CC3C43"/>
    <w:rsid w:val="00CD1A0B"/>
    <w:rsid w:val="00CD35FA"/>
    <w:rsid w:val="00CD5550"/>
    <w:rsid w:val="00CD5F17"/>
    <w:rsid w:val="00CF1366"/>
    <w:rsid w:val="00CF1A00"/>
    <w:rsid w:val="00CF22AD"/>
    <w:rsid w:val="00CF4255"/>
    <w:rsid w:val="00CF678C"/>
    <w:rsid w:val="00CF7455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63B2"/>
    <w:rsid w:val="00D269C2"/>
    <w:rsid w:val="00D370BC"/>
    <w:rsid w:val="00D46A8E"/>
    <w:rsid w:val="00D46C49"/>
    <w:rsid w:val="00D5028A"/>
    <w:rsid w:val="00D5077D"/>
    <w:rsid w:val="00D515F4"/>
    <w:rsid w:val="00D54749"/>
    <w:rsid w:val="00D63B4B"/>
    <w:rsid w:val="00D70D39"/>
    <w:rsid w:val="00D72E9B"/>
    <w:rsid w:val="00D73803"/>
    <w:rsid w:val="00D77DEC"/>
    <w:rsid w:val="00D77F8D"/>
    <w:rsid w:val="00D80DA8"/>
    <w:rsid w:val="00D828EC"/>
    <w:rsid w:val="00D84FC2"/>
    <w:rsid w:val="00D86013"/>
    <w:rsid w:val="00D90617"/>
    <w:rsid w:val="00D9294E"/>
    <w:rsid w:val="00D92950"/>
    <w:rsid w:val="00D95A64"/>
    <w:rsid w:val="00D974A5"/>
    <w:rsid w:val="00DA4D20"/>
    <w:rsid w:val="00DB70D6"/>
    <w:rsid w:val="00DB7BAA"/>
    <w:rsid w:val="00DC0B78"/>
    <w:rsid w:val="00DD0AC8"/>
    <w:rsid w:val="00DD612C"/>
    <w:rsid w:val="00DD6890"/>
    <w:rsid w:val="00DE0087"/>
    <w:rsid w:val="00DE2FB5"/>
    <w:rsid w:val="00DE38C0"/>
    <w:rsid w:val="00DE41BA"/>
    <w:rsid w:val="00DE44D8"/>
    <w:rsid w:val="00DE50A9"/>
    <w:rsid w:val="00DE6382"/>
    <w:rsid w:val="00DF1C2C"/>
    <w:rsid w:val="00DF3540"/>
    <w:rsid w:val="00DF40E7"/>
    <w:rsid w:val="00DF758E"/>
    <w:rsid w:val="00E01DD3"/>
    <w:rsid w:val="00E027A0"/>
    <w:rsid w:val="00E0668C"/>
    <w:rsid w:val="00E108C0"/>
    <w:rsid w:val="00E13F57"/>
    <w:rsid w:val="00E14404"/>
    <w:rsid w:val="00E1479E"/>
    <w:rsid w:val="00E2056D"/>
    <w:rsid w:val="00E274FB"/>
    <w:rsid w:val="00E3077F"/>
    <w:rsid w:val="00E33BCD"/>
    <w:rsid w:val="00E33F79"/>
    <w:rsid w:val="00E35957"/>
    <w:rsid w:val="00E41DFA"/>
    <w:rsid w:val="00E462E8"/>
    <w:rsid w:val="00E47741"/>
    <w:rsid w:val="00E50C79"/>
    <w:rsid w:val="00E510C6"/>
    <w:rsid w:val="00E515A1"/>
    <w:rsid w:val="00E52ED7"/>
    <w:rsid w:val="00E55751"/>
    <w:rsid w:val="00E55DD5"/>
    <w:rsid w:val="00E572C8"/>
    <w:rsid w:val="00E60CC5"/>
    <w:rsid w:val="00E64AC5"/>
    <w:rsid w:val="00E65C74"/>
    <w:rsid w:val="00E67C24"/>
    <w:rsid w:val="00E7018D"/>
    <w:rsid w:val="00E70F3B"/>
    <w:rsid w:val="00E71A76"/>
    <w:rsid w:val="00E71B26"/>
    <w:rsid w:val="00E72DC2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A5E93"/>
    <w:rsid w:val="00EC38C3"/>
    <w:rsid w:val="00EC5EF5"/>
    <w:rsid w:val="00ED2148"/>
    <w:rsid w:val="00ED704C"/>
    <w:rsid w:val="00ED7E1C"/>
    <w:rsid w:val="00EE0D20"/>
    <w:rsid w:val="00EE1E26"/>
    <w:rsid w:val="00EE462A"/>
    <w:rsid w:val="00EF2B31"/>
    <w:rsid w:val="00EF3A07"/>
    <w:rsid w:val="00EF68C4"/>
    <w:rsid w:val="00EF7B02"/>
    <w:rsid w:val="00F02C0C"/>
    <w:rsid w:val="00F051C1"/>
    <w:rsid w:val="00F070CA"/>
    <w:rsid w:val="00F101B9"/>
    <w:rsid w:val="00F1547F"/>
    <w:rsid w:val="00F1769F"/>
    <w:rsid w:val="00F22B6D"/>
    <w:rsid w:val="00F25E97"/>
    <w:rsid w:val="00F26C20"/>
    <w:rsid w:val="00F30FAE"/>
    <w:rsid w:val="00F3111D"/>
    <w:rsid w:val="00F32798"/>
    <w:rsid w:val="00F338CB"/>
    <w:rsid w:val="00F35AD1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566F1"/>
    <w:rsid w:val="00F60D4F"/>
    <w:rsid w:val="00F61CE8"/>
    <w:rsid w:val="00F63623"/>
    <w:rsid w:val="00F63F35"/>
    <w:rsid w:val="00F64A39"/>
    <w:rsid w:val="00F65F20"/>
    <w:rsid w:val="00F6626D"/>
    <w:rsid w:val="00F67994"/>
    <w:rsid w:val="00F704DB"/>
    <w:rsid w:val="00F719FC"/>
    <w:rsid w:val="00F75DCA"/>
    <w:rsid w:val="00F77F03"/>
    <w:rsid w:val="00F83744"/>
    <w:rsid w:val="00F8453B"/>
    <w:rsid w:val="00F86103"/>
    <w:rsid w:val="00F86641"/>
    <w:rsid w:val="00F90202"/>
    <w:rsid w:val="00F9112C"/>
    <w:rsid w:val="00F92A00"/>
    <w:rsid w:val="00F93432"/>
    <w:rsid w:val="00F93748"/>
    <w:rsid w:val="00F94D8A"/>
    <w:rsid w:val="00F9796D"/>
    <w:rsid w:val="00FA001D"/>
    <w:rsid w:val="00FA0124"/>
    <w:rsid w:val="00FA10CD"/>
    <w:rsid w:val="00FA2B61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3682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3BB4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3BB4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marie.bauduin@segec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s.fesec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enevieve.perrad@segec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ibert@segec.b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B476AA-D255-483E-8CC4-77FDE33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12</cp:revision>
  <dcterms:created xsi:type="dcterms:W3CDTF">2021-08-31T15:13:00Z</dcterms:created>
  <dcterms:modified xsi:type="dcterms:W3CDTF">2021-09-02T13:01:00Z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