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056B" w14:textId="3953B859" w:rsidR="00D22BB9" w:rsidRPr="009E1844" w:rsidRDefault="00570106" w:rsidP="00B654BA">
      <w:pPr>
        <w:pStyle w:val="Citationintense"/>
        <w:ind w:left="0" w:right="112"/>
        <w:rPr>
          <w:i w:val="0"/>
          <w:iCs w:val="0"/>
          <w:sz w:val="36"/>
          <w:szCs w:val="40"/>
        </w:rPr>
      </w:pPr>
      <w:bookmarkStart w:id="0" w:name="_Hlk81379440"/>
      <w:bookmarkEnd w:id="0"/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18CD3750" w14:textId="646907D6" w:rsidR="00090FDE" w:rsidRPr="00090FDE" w:rsidRDefault="009D3A4F" w:rsidP="00090FDE">
      <w:pPr>
        <w:pStyle w:val="Corpsdetexte"/>
        <w:spacing w:line="276" w:lineRule="auto"/>
        <w:ind w:left="0"/>
        <w:jc w:val="both"/>
        <w:rPr>
          <w:bCs/>
          <w:color w:val="4472C4" w:themeColor="accent1"/>
          <w:sz w:val="20"/>
          <w:szCs w:val="20"/>
        </w:rPr>
      </w:pPr>
      <w:bookmarkStart w:id="1" w:name="_2e_degré_Sciences"/>
      <w:bookmarkEnd w:id="1"/>
      <w:r>
        <w:rPr>
          <w:bCs/>
          <w:color w:val="4472C4" w:themeColor="accent1"/>
          <w:sz w:val="36"/>
          <w:szCs w:val="36"/>
        </w:rPr>
        <w:t xml:space="preserve">Réflexion autour des essentiels dans </w:t>
      </w:r>
      <w:r w:rsidR="00090FDE" w:rsidRPr="00090FDE">
        <w:rPr>
          <w:bCs/>
          <w:color w:val="4472C4" w:themeColor="accent1"/>
          <w:sz w:val="36"/>
          <w:szCs w:val="36"/>
        </w:rPr>
        <w:t>les 2</w:t>
      </w:r>
      <w:r w:rsidR="00090FDE" w:rsidRPr="00090FDE">
        <w:rPr>
          <w:bCs/>
          <w:color w:val="4472C4" w:themeColor="accent1"/>
          <w:sz w:val="36"/>
          <w:szCs w:val="36"/>
          <w:vertAlign w:val="superscript"/>
        </w:rPr>
        <w:t>e</w:t>
      </w:r>
      <w:r w:rsidR="00090FDE" w:rsidRPr="00090FDE">
        <w:rPr>
          <w:bCs/>
          <w:color w:val="4472C4" w:themeColor="accent1"/>
          <w:sz w:val="36"/>
          <w:szCs w:val="36"/>
        </w:rPr>
        <w:t xml:space="preserve"> et 3</w:t>
      </w:r>
      <w:r w:rsidR="00090FDE" w:rsidRPr="00090FDE">
        <w:rPr>
          <w:bCs/>
          <w:color w:val="4472C4" w:themeColor="accent1"/>
          <w:sz w:val="36"/>
          <w:szCs w:val="36"/>
          <w:vertAlign w:val="superscript"/>
        </w:rPr>
        <w:t>e</w:t>
      </w:r>
      <w:r w:rsidR="00090FDE" w:rsidRPr="00090FDE">
        <w:rPr>
          <w:bCs/>
          <w:color w:val="4472C4" w:themeColor="accent1"/>
          <w:sz w:val="36"/>
          <w:szCs w:val="36"/>
        </w:rPr>
        <w:t xml:space="preserve"> degrés HGT, option « Sciences économiques »</w:t>
      </w:r>
    </w:p>
    <w:p w14:paraId="557C04E4" w14:textId="2B141DBF" w:rsidR="00803D6F" w:rsidRDefault="00803D6F" w:rsidP="002F1D23">
      <w:pPr>
        <w:spacing w:after="0"/>
      </w:pPr>
    </w:p>
    <w:p w14:paraId="7EDF428A" w14:textId="4880CFFD" w:rsidR="00836791" w:rsidRDefault="00836791" w:rsidP="00836791">
      <w:pPr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</w:t>
      </w:r>
      <w:r w:rsidR="00CE12AE">
        <w:t>des options</w:t>
      </w:r>
      <w:r>
        <w:t xml:space="preserve"> du secteur des sciences économiques et sociales. L’ensemble de ces informations doit être adapté en fonction de la réalité de chaque classe.</w:t>
      </w:r>
    </w:p>
    <w:p w14:paraId="560896F3" w14:textId="77777777" w:rsidR="00836791" w:rsidRDefault="00836791" w:rsidP="00836791">
      <w:pPr>
        <w:spacing w:line="276" w:lineRule="auto"/>
        <w:contextualSpacing/>
        <w:jc w:val="both"/>
      </w:pPr>
    </w:p>
    <w:p w14:paraId="2293DAFF" w14:textId="77777777" w:rsidR="00836791" w:rsidRDefault="00836791" w:rsidP="00836791">
      <w:pPr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1D451FA3" w14:textId="77777777" w:rsidR="00836791" w:rsidRDefault="00836791" w:rsidP="00836791">
      <w:pPr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7FDB7020" w14:textId="77777777" w:rsidR="00836791" w:rsidRDefault="00836791" w:rsidP="00836791">
      <w:pPr>
        <w:spacing w:line="276" w:lineRule="auto"/>
        <w:contextualSpacing/>
        <w:jc w:val="both"/>
      </w:pPr>
    </w:p>
    <w:p w14:paraId="20697982" w14:textId="77777777" w:rsidR="00836791" w:rsidRPr="009D66E8" w:rsidRDefault="00836791" w:rsidP="00836791">
      <w:pPr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096729B3" w14:textId="77777777" w:rsidR="00836791" w:rsidRPr="009D66E8" w:rsidRDefault="00836791" w:rsidP="00836791">
      <w:pPr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55B777B7" w14:textId="77777777" w:rsidR="00836791" w:rsidRDefault="00836791" w:rsidP="00836791">
      <w:pPr>
        <w:spacing w:line="276" w:lineRule="auto"/>
        <w:contextualSpacing/>
        <w:jc w:val="both"/>
      </w:pPr>
    </w:p>
    <w:p w14:paraId="7A789074" w14:textId="77777777" w:rsidR="00836791" w:rsidRPr="001772AE" w:rsidRDefault="00836791" w:rsidP="00836791">
      <w:pPr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7E4A9E55" w14:textId="0955ED99" w:rsidR="00836791" w:rsidRDefault="00F7439C" w:rsidP="00836791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4088CA51" wp14:editId="5AC6670E">
            <wp:extent cx="5786437" cy="3255082"/>
            <wp:effectExtent l="0" t="0" r="5080" b="254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42" cy="32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1AEA" w14:textId="77777777" w:rsidR="00836791" w:rsidRDefault="00836791" w:rsidP="00E2249D">
      <w:pPr>
        <w:pStyle w:val="Paragraphedeliste"/>
        <w:spacing w:before="0" w:after="160" w:line="276" w:lineRule="auto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33F038A8" w14:textId="77777777" w:rsidR="00836791" w:rsidRDefault="00836791" w:rsidP="00E2249D">
      <w:pPr>
        <w:pStyle w:val="Paragraphedeliste"/>
        <w:spacing w:before="0" w:after="160" w:line="276" w:lineRule="auto"/>
        <w:ind w:left="0" w:firstLine="0"/>
        <w:jc w:val="both"/>
      </w:pPr>
      <w:r>
        <w:t>Le document d’intentions pédagogiques (DIP) tient compte de cette planification.</w:t>
      </w:r>
    </w:p>
    <w:p w14:paraId="21BA60F8" w14:textId="1BE1311A" w:rsidR="00836791" w:rsidRPr="00550E45" w:rsidRDefault="00E2249D" w:rsidP="00E2249D">
      <w:pPr>
        <w:pStyle w:val="Paragraphedeliste"/>
        <w:spacing w:before="0" w:after="160" w:line="276" w:lineRule="auto"/>
        <w:ind w:left="0" w:firstLine="0"/>
        <w:jc w:val="both"/>
      </w:pPr>
      <w:r>
        <w:t>I</w:t>
      </w:r>
      <w:r w:rsidR="00836791">
        <w:t>l est conseillé à l’enseignant de r</w:t>
      </w:r>
      <w:r w:rsidR="00836791" w:rsidRPr="00550E45">
        <w:t>epenser les espaces d’apprentissage </w:t>
      </w:r>
      <w:r w:rsidR="00836791">
        <w:t xml:space="preserve">et de continuer à utiliser le numérique qui reste </w:t>
      </w:r>
      <w:r w:rsidR="00836791" w:rsidRPr="00550E45">
        <w:t>une composante non négligeable</w:t>
      </w:r>
      <w:r w:rsidR="00836791">
        <w:t xml:space="preserve"> du processus d’apprentissage.</w:t>
      </w:r>
    </w:p>
    <w:p w14:paraId="7366D34E" w14:textId="1A3EB94C" w:rsidR="001A0BC8" w:rsidRDefault="001A0BC8" w:rsidP="00E2249D">
      <w:pPr>
        <w:spacing w:afterLines="160" w:after="384" w:line="276" w:lineRule="auto"/>
        <w:jc w:val="both"/>
      </w:pPr>
      <w:r>
        <w:t>Rappelons tout d’abord</w:t>
      </w:r>
      <w:r w:rsidR="00B8116E">
        <w:t xml:space="preserve"> </w:t>
      </w:r>
      <w:r>
        <w:t>que</w:t>
      </w:r>
      <w:r w:rsidR="00B8116E">
        <w:t>,</w:t>
      </w:r>
      <w:r>
        <w:t xml:space="preserve"> dans cette option, les deux degrés sont bien distincts, le deuxième degré étant consacré à l’économie d’entreprise et le troisième degré à la micro et macroéconomie. </w:t>
      </w:r>
      <w:r w:rsidR="008B71C5">
        <w:t>Néanmoins, la maîtrise de certaines notions analysées au 2</w:t>
      </w:r>
      <w:r w:rsidR="008B71C5" w:rsidRPr="008B71C5">
        <w:rPr>
          <w:vertAlign w:val="superscript"/>
        </w:rPr>
        <w:t>e</w:t>
      </w:r>
      <w:r w:rsidR="008B71C5">
        <w:t xml:space="preserve"> degré faciliteront l’acquisition de nouveaux savoir</w:t>
      </w:r>
      <w:r w:rsidR="00195EFD">
        <w:t>s</w:t>
      </w:r>
      <w:r w:rsidR="008B71C5">
        <w:t xml:space="preserve"> au 3</w:t>
      </w:r>
      <w:r w:rsidR="008B71C5" w:rsidRPr="008B71C5">
        <w:rPr>
          <w:vertAlign w:val="superscript"/>
        </w:rPr>
        <w:t>e</w:t>
      </w:r>
      <w:r w:rsidR="008B71C5">
        <w:t xml:space="preserve"> degré.</w:t>
      </w:r>
    </w:p>
    <w:p w14:paraId="6506292C" w14:textId="5952BF72" w:rsidR="00BA355C" w:rsidRPr="002F1877" w:rsidRDefault="00BA355C" w:rsidP="005B6E81">
      <w:pPr>
        <w:spacing w:line="276" w:lineRule="auto"/>
        <w:jc w:val="both"/>
      </w:pPr>
      <w:r w:rsidRPr="002F1877">
        <w:t>Au deuxième degré</w:t>
      </w:r>
      <w:r w:rsidR="008B71C5" w:rsidRPr="002F1877">
        <w:t>,</w:t>
      </w:r>
      <w:r w:rsidR="00CF4C0B" w:rsidRPr="002F1877">
        <w:t xml:space="preserve"> </w:t>
      </w:r>
      <w:r w:rsidR="00333D3A" w:rsidRPr="002F1877">
        <w:t>le</w:t>
      </w:r>
      <w:r w:rsidR="008B71C5" w:rsidRPr="002F1877">
        <w:t xml:space="preserve"> </w:t>
      </w:r>
      <w:r w:rsidR="00333D3A" w:rsidRPr="002F1877">
        <w:t xml:space="preserve"> programme distingue bien ce qui doit être vu en 3</w:t>
      </w:r>
      <w:r w:rsidR="00333D3A" w:rsidRPr="002F1877">
        <w:rPr>
          <w:vertAlign w:val="superscript"/>
        </w:rPr>
        <w:t>e</w:t>
      </w:r>
      <w:r w:rsidR="00333D3A" w:rsidRPr="002F1877">
        <w:t xml:space="preserve"> et en 4</w:t>
      </w:r>
      <w:r w:rsidR="00333D3A" w:rsidRPr="002F1877">
        <w:rPr>
          <w:vertAlign w:val="superscript"/>
        </w:rPr>
        <w:t>e</w:t>
      </w:r>
      <w:r w:rsidR="00333D3A" w:rsidRPr="002F1877">
        <w:t xml:space="preserve"> année</w:t>
      </w:r>
      <w:r w:rsidR="00183256" w:rsidRPr="002F1877">
        <w:t xml:space="preserve">. </w:t>
      </w:r>
      <w:r w:rsidR="005F777B" w:rsidRPr="002F1877">
        <w:t>Le</w:t>
      </w:r>
      <w:r w:rsidR="0028647E" w:rsidRPr="002F1877">
        <w:t xml:space="preserve"> premier tableau a</w:t>
      </w:r>
      <w:r w:rsidR="00422084" w:rsidRPr="002F1877">
        <w:t xml:space="preserve"> pour objectif de mettre en évidence en 3</w:t>
      </w:r>
      <w:r w:rsidR="00422084" w:rsidRPr="002F1877">
        <w:rPr>
          <w:vertAlign w:val="superscript"/>
        </w:rPr>
        <w:t>e</w:t>
      </w:r>
      <w:r w:rsidR="00422084" w:rsidRPr="002F1877">
        <w:t xml:space="preserve"> année</w:t>
      </w:r>
      <w:r w:rsidR="00CB7E14" w:rsidRPr="002F1877">
        <w:t xml:space="preserve"> et en 4</w:t>
      </w:r>
      <w:r w:rsidR="00CB7E14" w:rsidRPr="002F1877">
        <w:rPr>
          <w:vertAlign w:val="superscript"/>
        </w:rPr>
        <w:t>e</w:t>
      </w:r>
      <w:r w:rsidR="00CB7E14" w:rsidRPr="002F1877">
        <w:t xml:space="preserve"> année</w:t>
      </w:r>
      <w:r w:rsidR="00422084" w:rsidRPr="002F1877">
        <w:t xml:space="preserve"> </w:t>
      </w:r>
      <w:r w:rsidR="003646FA" w:rsidRPr="002F1877">
        <w:t xml:space="preserve">les essentiels </w:t>
      </w:r>
      <w:r w:rsidR="00234D11" w:rsidRPr="002F1877">
        <w:t xml:space="preserve">à </w:t>
      </w:r>
      <w:r w:rsidR="00D53063" w:rsidRPr="002F1877">
        <w:t>maitris</w:t>
      </w:r>
      <w:r w:rsidR="0045042D" w:rsidRPr="002F1877">
        <w:t>er</w:t>
      </w:r>
      <w:r w:rsidR="00D53063" w:rsidRPr="002F1877">
        <w:t xml:space="preserve"> par des élèves de l’option mais également </w:t>
      </w:r>
      <w:r w:rsidR="00234D11" w:rsidRPr="002F1877">
        <w:t>ceux</w:t>
      </w:r>
      <w:r w:rsidR="00CB7E14" w:rsidRPr="002F1877">
        <w:t xml:space="preserve"> </w:t>
      </w:r>
      <w:r w:rsidR="0088352D" w:rsidRPr="002F1877">
        <w:t xml:space="preserve">qui </w:t>
      </w:r>
      <w:r w:rsidR="00CB7E14" w:rsidRPr="002F1877">
        <w:t xml:space="preserve">sont indispensables </w:t>
      </w:r>
      <w:r w:rsidR="003A28AB" w:rsidRPr="002F1877">
        <w:t xml:space="preserve">en tant que prérequis </w:t>
      </w:r>
      <w:r w:rsidR="00CB7E14" w:rsidRPr="002F1877">
        <w:t xml:space="preserve">à la compréhension de ceux qui seront analysés </w:t>
      </w:r>
      <w:r w:rsidR="003A28AB" w:rsidRPr="002F1877">
        <w:t>dans les années suivantes.</w:t>
      </w:r>
      <w:r w:rsidR="00FC6C32" w:rsidRPr="002F1877">
        <w:t xml:space="preserve"> Ainsi, par exemp</w:t>
      </w:r>
      <w:r w:rsidR="00261296" w:rsidRPr="002F1877">
        <w:t>l</w:t>
      </w:r>
      <w:r w:rsidR="00FC6C32" w:rsidRPr="002F1877">
        <w:t>e, comment comprendre la notion de productivité</w:t>
      </w:r>
      <w:r w:rsidR="00CF4972" w:rsidRPr="002F1877">
        <w:t xml:space="preserve"> et de co</w:t>
      </w:r>
      <w:r w:rsidR="00AB2668" w:rsidRPr="002F1877">
        <w:t xml:space="preserve">ût de production </w:t>
      </w:r>
      <w:r w:rsidR="00FC6C32" w:rsidRPr="002F1877">
        <w:t>en 4</w:t>
      </w:r>
      <w:r w:rsidR="00FC6C32" w:rsidRPr="002F1877">
        <w:rPr>
          <w:vertAlign w:val="superscript"/>
        </w:rPr>
        <w:t>e</w:t>
      </w:r>
      <w:r w:rsidR="00FC6C32" w:rsidRPr="002F1877">
        <w:t xml:space="preserve"> année</w:t>
      </w:r>
      <w:r w:rsidR="003831DD" w:rsidRPr="002F1877">
        <w:t xml:space="preserve"> si les facteurs de production n’ont pas été analysés en 3</w:t>
      </w:r>
      <w:r w:rsidR="003831DD" w:rsidRPr="002F1877">
        <w:rPr>
          <w:vertAlign w:val="superscript"/>
        </w:rPr>
        <w:t>e</w:t>
      </w:r>
      <w:r w:rsidR="003831DD" w:rsidRPr="002F1877">
        <w:t xml:space="preserve"> ? </w:t>
      </w:r>
      <w:r w:rsidR="0045042D" w:rsidRPr="002F1877">
        <w:t>Comment</w:t>
      </w:r>
      <w:r w:rsidR="007D2015" w:rsidRPr="002F1877">
        <w:t xml:space="preserve"> analyser </w:t>
      </w:r>
      <w:r w:rsidR="00AB2668" w:rsidRPr="002F1877">
        <w:t>la structure d’un marché</w:t>
      </w:r>
      <w:r w:rsidR="00F264C1" w:rsidRPr="002F1877">
        <w:t xml:space="preserve"> si les notions d’offre et demande ne sont pas familières pour les élèves ?</w:t>
      </w:r>
      <w:r w:rsidR="00187A3A" w:rsidRPr="002F1877">
        <w:t xml:space="preserve"> Com</w:t>
      </w:r>
      <w:r w:rsidR="004D76C8" w:rsidRPr="002F1877">
        <w:t>ment analyser au 3</w:t>
      </w:r>
      <w:r w:rsidR="004D76C8" w:rsidRPr="002F1877">
        <w:rPr>
          <w:vertAlign w:val="superscript"/>
        </w:rPr>
        <w:t>e</w:t>
      </w:r>
      <w:r w:rsidR="004D76C8" w:rsidRPr="002F1877">
        <w:t xml:space="preserve"> degré, le marché du travail et celui du capital si </w:t>
      </w:r>
      <w:r w:rsidR="004148F9" w:rsidRPr="002F1877">
        <w:t xml:space="preserve">ces deux facteurs de production n’ont pas été étudiés </w:t>
      </w:r>
      <w:r w:rsidR="00F54919" w:rsidRPr="002F1877">
        <w:t>au 2</w:t>
      </w:r>
      <w:r w:rsidR="00F54919" w:rsidRPr="002F1877">
        <w:rPr>
          <w:vertAlign w:val="superscript"/>
        </w:rPr>
        <w:t>e</w:t>
      </w:r>
      <w:r w:rsidR="00F54919" w:rsidRPr="002F1877">
        <w:t xml:space="preserve"> degré</w:t>
      </w:r>
      <w:r w:rsidR="000D30BE" w:rsidRPr="002F1877">
        <w:t> ?</w:t>
      </w:r>
      <w:r w:rsidR="00F264C1" w:rsidRPr="002F1877">
        <w:t xml:space="preserve"> </w:t>
      </w:r>
      <w:r w:rsidR="00C52823" w:rsidRPr="002F1877">
        <w:t xml:space="preserve">L’important n’est donc plus ici d’enseigner un </w:t>
      </w:r>
      <w:r w:rsidR="00964BBD" w:rsidRPr="002F1877">
        <w:t>savoir</w:t>
      </w:r>
      <w:r w:rsidR="00C52823" w:rsidRPr="002F1877">
        <w:t xml:space="preserve"> parce qu’il était au programme de l’année précédente, mais parce que sa maîtrise est indispensable à l’appropriation d’un nouveau savoir.</w:t>
      </w:r>
    </w:p>
    <w:p w14:paraId="4B0CD58A" w14:textId="0576FA4E" w:rsidR="00784E40" w:rsidRPr="002F1877" w:rsidRDefault="004C21E9" w:rsidP="00784E40">
      <w:pPr>
        <w:spacing w:line="276" w:lineRule="auto"/>
        <w:jc w:val="both"/>
      </w:pPr>
      <w:r w:rsidRPr="002F1877">
        <w:t>Au 3</w:t>
      </w:r>
      <w:r w:rsidRPr="002F1877">
        <w:rPr>
          <w:vertAlign w:val="superscript"/>
        </w:rPr>
        <w:t>e</w:t>
      </w:r>
      <w:r w:rsidRPr="002F1877">
        <w:t xml:space="preserve"> degré,</w:t>
      </w:r>
      <w:r w:rsidR="008861F2" w:rsidRPr="002F1877">
        <w:t xml:space="preserve"> le programme ne fait plus la distinction entre ce qui doit être vu en 5</w:t>
      </w:r>
      <w:r w:rsidR="008861F2" w:rsidRPr="002F1877">
        <w:rPr>
          <w:vertAlign w:val="superscript"/>
        </w:rPr>
        <w:t>e</w:t>
      </w:r>
      <w:r w:rsidR="008861F2" w:rsidRPr="002F1877">
        <w:t xml:space="preserve"> et 6</w:t>
      </w:r>
      <w:r w:rsidR="008861F2" w:rsidRPr="002F1877">
        <w:rPr>
          <w:vertAlign w:val="superscript"/>
        </w:rPr>
        <w:t>e</w:t>
      </w:r>
      <w:r w:rsidR="008861F2" w:rsidRPr="002F1877">
        <w:t xml:space="preserve"> année. </w:t>
      </w:r>
      <w:r w:rsidR="00784E40" w:rsidRPr="002F1877">
        <w:t xml:space="preserve"> le professeur est libre d’articuler les différentes parties du cours </w:t>
      </w:r>
      <w:r w:rsidR="00A41CB6" w:rsidRPr="002F1877">
        <w:t xml:space="preserve">(micro et macro) </w:t>
      </w:r>
      <w:r w:rsidR="00784E40" w:rsidRPr="002F1877">
        <w:t xml:space="preserve">en fonction des situations qui lui semblent pertinentes à ce moment-là (notamment en fonction de l’actualité). Les objets d’investigation </w:t>
      </w:r>
      <w:r w:rsidR="008138E2" w:rsidRPr="002F1877">
        <w:t xml:space="preserve">présentés dans le deuxième tableau </w:t>
      </w:r>
      <w:r w:rsidR="00784E40" w:rsidRPr="002F1877">
        <w:t>ne doivent donc pas nécessairement être parcourus dans l’ordre proposé dans le programme.</w:t>
      </w:r>
      <w:r w:rsidR="000373D5" w:rsidRPr="002F1877">
        <w:t xml:space="preserve"> </w:t>
      </w:r>
      <w:r w:rsidR="00F975EE" w:rsidRPr="002F1877">
        <w:t>Le tableau liste donc ici les essentiels</w:t>
      </w:r>
      <w:r w:rsidR="006A1EE1" w:rsidRPr="002F1877">
        <w:t xml:space="preserve"> </w:t>
      </w:r>
      <w:r w:rsidR="00F975EE" w:rsidRPr="002F1877">
        <w:t xml:space="preserve"> à connaître au terme de l’option</w:t>
      </w:r>
      <w:r w:rsidR="006A1EE1" w:rsidRPr="002F1877">
        <w:t>.</w:t>
      </w:r>
    </w:p>
    <w:p w14:paraId="02472F78" w14:textId="5FD399C0" w:rsidR="002F1D23" w:rsidRPr="002F1877" w:rsidRDefault="00742483" w:rsidP="005B6E81">
      <w:pPr>
        <w:spacing w:line="276" w:lineRule="auto"/>
        <w:jc w:val="both"/>
      </w:pPr>
      <w:r w:rsidRPr="002F1877">
        <w:t>Le programme laisse une grande liberté pédagogique aux enseignants</w:t>
      </w:r>
      <w:r w:rsidR="00C0234A" w:rsidRPr="002F1877">
        <w:t xml:space="preserve">. Si toutes les notions </w:t>
      </w:r>
      <w:r w:rsidR="00847744" w:rsidRPr="002F1877">
        <w:t xml:space="preserve">essentielles </w:t>
      </w:r>
      <w:r w:rsidR="00C0234A" w:rsidRPr="002F1877">
        <w:t>listées dans le</w:t>
      </w:r>
      <w:r w:rsidR="0003068E" w:rsidRPr="002F1877">
        <w:t>s</w:t>
      </w:r>
      <w:r w:rsidR="00C0234A" w:rsidRPr="002F1877">
        <w:t xml:space="preserve"> tableau</w:t>
      </w:r>
      <w:r w:rsidR="008138E2" w:rsidRPr="002F1877">
        <w:t>x</w:t>
      </w:r>
      <w:r w:rsidR="00C0234A" w:rsidRPr="002F1877">
        <w:t xml:space="preserve"> doivent être approchées, </w:t>
      </w:r>
      <w:r w:rsidR="00847744" w:rsidRPr="002F1877">
        <w:t>l</w:t>
      </w:r>
      <w:r w:rsidR="00C0234A" w:rsidRPr="002F1877">
        <w:t>e degré d’approfondissement de chacune de celles-ci ser</w:t>
      </w:r>
      <w:r w:rsidR="00847744" w:rsidRPr="002F1877">
        <w:t>a laissé à l’a</w:t>
      </w:r>
      <w:r w:rsidR="00712410" w:rsidRPr="002F1877">
        <w:t>ppréciation de l’</w:t>
      </w:r>
      <w:r w:rsidR="00847744" w:rsidRPr="002F1877">
        <w:t xml:space="preserve">enseignant en fonction </w:t>
      </w:r>
      <w:r w:rsidR="00712410" w:rsidRPr="002F1877">
        <w:t>du temps disponible.</w:t>
      </w:r>
      <w:r w:rsidR="008138E2" w:rsidRPr="002F1877">
        <w:t xml:space="preserve"> </w:t>
      </w:r>
    </w:p>
    <w:p w14:paraId="1406E9DD" w14:textId="4A21A973" w:rsidR="008138E2" w:rsidRDefault="008138E2" w:rsidP="005B6E81">
      <w:pPr>
        <w:spacing w:line="276" w:lineRule="auto"/>
        <w:jc w:val="both"/>
      </w:pPr>
      <w:r w:rsidRPr="002F1877">
        <w:t>Le troisième tab</w:t>
      </w:r>
      <w:r w:rsidR="00117279" w:rsidRPr="002F1877">
        <w:t xml:space="preserve">leau liste quant à lui les savoir-faire à maitriser par un élève qui quitte l’option </w:t>
      </w:r>
      <w:r w:rsidR="002F1D23" w:rsidRPr="002F1877">
        <w:t>« sciences économiques » au terme des deux degrés.</w:t>
      </w:r>
    </w:p>
    <w:p w14:paraId="538FEF06" w14:textId="77777777" w:rsidR="004C4E96" w:rsidRDefault="004C4E96" w:rsidP="004D1B53">
      <w:pPr>
        <w:rPr>
          <w:color w:val="4472C4" w:themeColor="accent1"/>
          <w:sz w:val="32"/>
          <w:szCs w:val="32"/>
        </w:rPr>
      </w:pPr>
    </w:p>
    <w:p w14:paraId="2CB6B952" w14:textId="3FD25EFF" w:rsidR="004C4E96" w:rsidRDefault="004C4E96" w:rsidP="004D1B53">
      <w:pPr>
        <w:rPr>
          <w:color w:val="4472C4" w:themeColor="accent1"/>
          <w:sz w:val="32"/>
          <w:szCs w:val="32"/>
        </w:rPr>
      </w:pPr>
    </w:p>
    <w:p w14:paraId="0493338F" w14:textId="1E2D9D0A" w:rsidR="00880431" w:rsidRDefault="00880431" w:rsidP="004D1B53">
      <w:pPr>
        <w:rPr>
          <w:color w:val="4472C4" w:themeColor="accent1"/>
          <w:sz w:val="32"/>
          <w:szCs w:val="32"/>
        </w:rPr>
      </w:pPr>
    </w:p>
    <w:p w14:paraId="56EE42ED" w14:textId="0D8A6414" w:rsidR="00880431" w:rsidRDefault="00880431" w:rsidP="004D1B53">
      <w:pPr>
        <w:rPr>
          <w:color w:val="4472C4" w:themeColor="accent1"/>
          <w:sz w:val="32"/>
          <w:szCs w:val="32"/>
        </w:rPr>
      </w:pPr>
    </w:p>
    <w:p w14:paraId="112E0EE9" w14:textId="2EFECA9A" w:rsidR="00880431" w:rsidRDefault="00880431" w:rsidP="004D1B53">
      <w:pPr>
        <w:rPr>
          <w:color w:val="4472C4" w:themeColor="accent1"/>
          <w:sz w:val="32"/>
          <w:szCs w:val="32"/>
        </w:rPr>
      </w:pPr>
    </w:p>
    <w:p w14:paraId="59C9F125" w14:textId="688939C5" w:rsidR="009E1844" w:rsidRPr="004D1B53" w:rsidRDefault="009E1844" w:rsidP="004D1B53">
      <w:pPr>
        <w:rPr>
          <w:color w:val="4472C4" w:themeColor="accent1"/>
          <w:sz w:val="32"/>
          <w:szCs w:val="32"/>
        </w:rPr>
      </w:pPr>
      <w:r w:rsidRPr="004D1B53">
        <w:rPr>
          <w:color w:val="4472C4" w:themeColor="accent1"/>
          <w:sz w:val="32"/>
          <w:szCs w:val="32"/>
        </w:rPr>
        <w:lastRenderedPageBreak/>
        <w:t xml:space="preserve">Savoirs essentiels </w:t>
      </w:r>
      <w:r w:rsidR="00011516" w:rsidRPr="004D1B53">
        <w:rPr>
          <w:color w:val="4472C4" w:themeColor="accent1"/>
          <w:sz w:val="32"/>
          <w:szCs w:val="32"/>
        </w:rPr>
        <w:t xml:space="preserve">au terme du </w:t>
      </w:r>
      <w:r w:rsidR="00011516">
        <w:rPr>
          <w:color w:val="4472C4" w:themeColor="accent1"/>
          <w:sz w:val="32"/>
          <w:szCs w:val="32"/>
        </w:rPr>
        <w:t>2</w:t>
      </w:r>
      <w:r w:rsidR="00011516" w:rsidRPr="004D1B53">
        <w:rPr>
          <w:color w:val="4472C4" w:themeColor="accent1"/>
          <w:sz w:val="32"/>
          <w:szCs w:val="32"/>
          <w:vertAlign w:val="superscript"/>
        </w:rPr>
        <w:t>e</w:t>
      </w:r>
      <w:r w:rsidR="00011516">
        <w:rPr>
          <w:color w:val="4472C4" w:themeColor="accent1"/>
          <w:sz w:val="32"/>
          <w:szCs w:val="32"/>
        </w:rPr>
        <w:t xml:space="preserve"> </w:t>
      </w:r>
      <w:r w:rsidR="00011516" w:rsidRPr="004D1B53">
        <w:rPr>
          <w:color w:val="4472C4" w:themeColor="accent1"/>
          <w:sz w:val="32"/>
          <w:szCs w:val="32"/>
        </w:rPr>
        <w:t>degré</w:t>
      </w:r>
      <w:r w:rsidR="00011516" w:rsidRPr="002F1877"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803D6F" w14:paraId="51310D4A" w14:textId="77777777" w:rsidTr="004C4E96">
        <w:trPr>
          <w:trHeight w:val="112"/>
        </w:trPr>
        <w:tc>
          <w:tcPr>
            <w:tcW w:w="4815" w:type="dxa"/>
          </w:tcPr>
          <w:p w14:paraId="095D85AA" w14:textId="2935CFEA" w:rsidR="00803D6F" w:rsidRDefault="00803D6F" w:rsidP="005B6E81">
            <w:pPr>
              <w:widowControl w:val="0"/>
            </w:pPr>
            <w:r w:rsidRPr="002E1ADF">
              <w:rPr>
                <w:color w:val="767171" w:themeColor="background2" w:themeShade="80"/>
                <w:sz w:val="32"/>
                <w:szCs w:val="36"/>
              </w:rPr>
              <w:t>3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  <w:tc>
          <w:tcPr>
            <w:tcW w:w="4961" w:type="dxa"/>
          </w:tcPr>
          <w:p w14:paraId="0D790FAE" w14:textId="2C268BAE" w:rsidR="00803D6F" w:rsidRDefault="00803D6F" w:rsidP="00903395">
            <w:pPr>
              <w:widowControl w:val="0"/>
            </w:pPr>
            <w:r w:rsidRPr="002E1ADF">
              <w:rPr>
                <w:color w:val="767171" w:themeColor="background2" w:themeShade="80"/>
                <w:sz w:val="32"/>
                <w:szCs w:val="36"/>
              </w:rPr>
              <w:t>4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</w:tr>
      <w:tr w:rsidR="00803D6F" w14:paraId="26AC2BD2" w14:textId="77777777" w:rsidTr="004C4E96">
        <w:trPr>
          <w:trHeight w:val="729"/>
        </w:trPr>
        <w:tc>
          <w:tcPr>
            <w:tcW w:w="9776" w:type="dxa"/>
            <w:gridSpan w:val="2"/>
          </w:tcPr>
          <w:p w14:paraId="5E2AEC36" w14:textId="087D654F" w:rsidR="00803D6F" w:rsidRPr="007E2816" w:rsidRDefault="00803D6F" w:rsidP="008D3497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problème économique</w:t>
            </w:r>
          </w:p>
          <w:p w14:paraId="323E286A" w14:textId="4E50E8C0" w:rsidR="00803D6F" w:rsidRPr="00803D6F" w:rsidRDefault="00803D6F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 w:rsidRPr="00803D6F">
              <w:t>Schéma économique à compléter progressivement au cours du degré</w:t>
            </w:r>
          </w:p>
        </w:tc>
      </w:tr>
      <w:tr w:rsidR="00803D6F" w14:paraId="4BA82A23" w14:textId="77777777" w:rsidTr="004C4E96">
        <w:trPr>
          <w:trHeight w:val="428"/>
        </w:trPr>
        <w:tc>
          <w:tcPr>
            <w:tcW w:w="4815" w:type="dxa"/>
            <w:vMerge w:val="restart"/>
          </w:tcPr>
          <w:p w14:paraId="34D833AA" w14:textId="11D48F26" w:rsidR="00803D6F" w:rsidRPr="007E2816" w:rsidRDefault="00803D6F" w:rsidP="008D3497">
            <w:pPr>
              <w:keepNext/>
              <w:keepLines/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choix du consommateur</w:t>
            </w:r>
          </w:p>
          <w:p w14:paraId="6542BFB2" w14:textId="77777777" w:rsidR="00803D6F" w:rsidRDefault="00803D6F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Biens et services (publics et privés)</w:t>
            </w:r>
          </w:p>
          <w:p w14:paraId="4CC0FFAE" w14:textId="77777777" w:rsidR="00803D6F" w:rsidRDefault="00803D6F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Biens de consommation durables et non durables</w:t>
            </w:r>
          </w:p>
          <w:p w14:paraId="445A39BD" w14:textId="579BB3EF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R</w:t>
            </w:r>
            <w:r w:rsidR="00803D6F">
              <w:t xml:space="preserve">evenus liés au travail </w:t>
            </w:r>
          </w:p>
          <w:p w14:paraId="5465D390" w14:textId="0EE8A5B8" w:rsidR="00803D6F" w:rsidRDefault="00985BAC" w:rsidP="005C1815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R</w:t>
            </w:r>
            <w:r w:rsidR="00803D6F">
              <w:t>evenus liés au capital</w:t>
            </w:r>
          </w:p>
          <w:p w14:paraId="70A52AB5" w14:textId="1EBDB108" w:rsidR="00803D6F" w:rsidRDefault="00985BAC" w:rsidP="005C1815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R</w:t>
            </w:r>
            <w:r w:rsidR="00803D6F">
              <w:t>evenus de transfert</w:t>
            </w:r>
            <w:r w:rsidR="000C212F">
              <w:t xml:space="preserve"> (sécurité sociale)</w:t>
            </w:r>
          </w:p>
          <w:p w14:paraId="0B645D64" w14:textId="4AB052C8" w:rsidR="00803D6F" w:rsidRDefault="00985BAC" w:rsidP="005C1815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R</w:t>
            </w:r>
            <w:r w:rsidR="00803D6F">
              <w:t xml:space="preserve">evenus disponible </w:t>
            </w:r>
          </w:p>
          <w:p w14:paraId="245F6DB7" w14:textId="1A7B33CD" w:rsidR="00803D6F" w:rsidRDefault="00985BAC" w:rsidP="00985BAC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C</w:t>
            </w:r>
            <w:r w:rsidR="00803D6F">
              <w:t>rédit à la consommation</w:t>
            </w:r>
          </w:p>
          <w:p w14:paraId="7C00DBA5" w14:textId="3A5ED741" w:rsidR="00803D6F" w:rsidRPr="00E00D05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S</w:t>
            </w:r>
            <w:r w:rsidR="00803D6F" w:rsidRPr="00E00D05">
              <w:t>ystème bancaire</w:t>
            </w:r>
          </w:p>
          <w:p w14:paraId="648C8836" w14:textId="2B6F5FC2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D</w:t>
            </w:r>
            <w:r w:rsidR="00803D6F">
              <w:t>éterminants sociologiques et économiques de la consommation</w:t>
            </w:r>
          </w:p>
        </w:tc>
        <w:tc>
          <w:tcPr>
            <w:tcW w:w="4961" w:type="dxa"/>
            <w:vMerge w:val="restart"/>
          </w:tcPr>
          <w:p w14:paraId="7E525D80" w14:textId="77777777" w:rsidR="00803D6F" w:rsidRDefault="00803D6F" w:rsidP="00735974">
            <w:pPr>
              <w:widowControl w:val="0"/>
              <w:spacing w:line="264" w:lineRule="auto"/>
            </w:pPr>
          </w:p>
        </w:tc>
      </w:tr>
      <w:tr w:rsidR="00803D6F" w14:paraId="72E98C24" w14:textId="77777777" w:rsidTr="004C4E96">
        <w:trPr>
          <w:trHeight w:val="2557"/>
        </w:trPr>
        <w:tc>
          <w:tcPr>
            <w:tcW w:w="4815" w:type="dxa"/>
            <w:vMerge/>
          </w:tcPr>
          <w:p w14:paraId="59F4B35B" w14:textId="43A5279E" w:rsidR="00803D6F" w:rsidRDefault="00803D6F" w:rsidP="00735974">
            <w:pPr>
              <w:pStyle w:val="Paragraphedeliste"/>
              <w:numPr>
                <w:ilvl w:val="0"/>
                <w:numId w:val="1"/>
              </w:numPr>
              <w:spacing w:before="0" w:line="264" w:lineRule="auto"/>
            </w:pPr>
          </w:p>
        </w:tc>
        <w:tc>
          <w:tcPr>
            <w:tcW w:w="4961" w:type="dxa"/>
            <w:vMerge/>
          </w:tcPr>
          <w:p w14:paraId="1B91A05F" w14:textId="77777777" w:rsidR="00803D6F" w:rsidRDefault="00803D6F" w:rsidP="00735974">
            <w:pPr>
              <w:widowControl w:val="0"/>
              <w:spacing w:line="264" w:lineRule="auto"/>
            </w:pPr>
          </w:p>
        </w:tc>
      </w:tr>
      <w:tr w:rsidR="00803D6F" w14:paraId="485EE6DB" w14:textId="77777777" w:rsidTr="004C4E96">
        <w:trPr>
          <w:trHeight w:val="2440"/>
        </w:trPr>
        <w:tc>
          <w:tcPr>
            <w:tcW w:w="4815" w:type="dxa"/>
          </w:tcPr>
          <w:p w14:paraId="7D7F8F4B" w14:textId="77777777" w:rsidR="00803D6F" w:rsidRPr="007E2816" w:rsidRDefault="00803D6F" w:rsidP="008D3497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choix de producteur</w:t>
            </w:r>
          </w:p>
          <w:p w14:paraId="45B1BD8E" w14:textId="12329973" w:rsidR="00380989" w:rsidRDefault="00380989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Carte d’identité d’une PME</w:t>
            </w:r>
          </w:p>
          <w:p w14:paraId="3A3599AF" w14:textId="35559E4D" w:rsidR="00380989" w:rsidRDefault="00380989" w:rsidP="00735974">
            <w:pPr>
              <w:pStyle w:val="Paragraphedeliste"/>
              <w:spacing w:before="0" w:line="264" w:lineRule="auto"/>
              <w:ind w:left="567" w:firstLine="0"/>
            </w:pPr>
          </w:p>
          <w:p w14:paraId="30A6ADA4" w14:textId="77777777" w:rsidR="00380989" w:rsidRDefault="00380989" w:rsidP="00735974">
            <w:pPr>
              <w:pStyle w:val="Paragraphedeliste"/>
              <w:spacing w:before="0" w:line="264" w:lineRule="auto"/>
              <w:ind w:left="567" w:firstLine="0"/>
            </w:pPr>
          </w:p>
          <w:p w14:paraId="150E262B" w14:textId="1E851C54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F</w:t>
            </w:r>
            <w:r w:rsidR="00803D6F">
              <w:t>acteur de production  «travail » </w:t>
            </w:r>
            <w:r w:rsidR="00B32BB1">
              <w:t>et progrès technique</w:t>
            </w:r>
          </w:p>
          <w:p w14:paraId="1C0ED919" w14:textId="77777777" w:rsidR="002551B8" w:rsidRDefault="002551B8" w:rsidP="002551B8">
            <w:pPr>
              <w:pStyle w:val="Paragraphedeliste"/>
              <w:spacing w:before="0" w:line="264" w:lineRule="auto"/>
              <w:ind w:left="567" w:firstLine="0"/>
            </w:pPr>
          </w:p>
          <w:p w14:paraId="2C0EB557" w14:textId="0352BD17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 w:hanging="357"/>
            </w:pPr>
            <w:r>
              <w:t>F</w:t>
            </w:r>
            <w:r w:rsidR="00803D6F">
              <w:t>acteur de production  «capital » : notions de comptabilité et calculs liés à la facture</w:t>
            </w:r>
          </w:p>
        </w:tc>
        <w:tc>
          <w:tcPr>
            <w:tcW w:w="4961" w:type="dxa"/>
          </w:tcPr>
          <w:p w14:paraId="0A896F2A" w14:textId="77777777" w:rsidR="00B32BB1" w:rsidRPr="007E2816" w:rsidRDefault="00B32BB1" w:rsidP="008D3497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L’entreprise : une organisation</w:t>
            </w:r>
          </w:p>
          <w:p w14:paraId="557A448C" w14:textId="62350D4F" w:rsidR="00B32BB1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S</w:t>
            </w:r>
            <w:r w:rsidR="00B32BB1">
              <w:t>tatuts juridiques des organisations</w:t>
            </w:r>
          </w:p>
          <w:p w14:paraId="4EA481BB" w14:textId="30D3AF87" w:rsidR="00B32BB1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M</w:t>
            </w:r>
            <w:r w:rsidR="00B32BB1">
              <w:t>oyens de financement</w:t>
            </w:r>
          </w:p>
          <w:p w14:paraId="1811B8BB" w14:textId="77777777" w:rsidR="00B32BB1" w:rsidRPr="007E2816" w:rsidRDefault="00B32BB1" w:rsidP="008D3497">
            <w:pPr>
              <w:spacing w:line="264" w:lineRule="auto"/>
              <w:rPr>
                <w:b/>
                <w:bCs/>
                <w:color w:val="767171" w:themeColor="background2" w:themeShade="80"/>
                <w:sz w:val="32"/>
                <w:szCs w:val="36"/>
              </w:rPr>
            </w:pPr>
            <w:r w:rsidRPr="007E2816">
              <w:rPr>
                <w:b/>
                <w:bCs/>
              </w:rPr>
              <w:t>La production</w:t>
            </w:r>
          </w:p>
          <w:p w14:paraId="7AE89095" w14:textId="77777777" w:rsidR="00B32BB1" w:rsidRDefault="00B32BB1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Facteurs de production et productivité</w:t>
            </w:r>
          </w:p>
          <w:p w14:paraId="46FF9C3D" w14:textId="77777777" w:rsidR="00B32BB1" w:rsidRDefault="00B32BB1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Amélioration de la productivité</w:t>
            </w:r>
          </w:p>
          <w:p w14:paraId="5719B097" w14:textId="217B7B69" w:rsidR="00B32BB1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C</w:t>
            </w:r>
            <w:r w:rsidR="00B32BB1">
              <w:t xml:space="preserve">omptabilité : enregistrement de documents réels </w:t>
            </w:r>
          </w:p>
          <w:p w14:paraId="4B4F9DA0" w14:textId="304D7120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C</w:t>
            </w:r>
            <w:r w:rsidR="00B32BB1">
              <w:t>oûts de production : seuil de rentabilité</w:t>
            </w:r>
          </w:p>
        </w:tc>
      </w:tr>
      <w:tr w:rsidR="00803D6F" w14:paraId="2401CA0A" w14:textId="77777777" w:rsidTr="004C4E96">
        <w:trPr>
          <w:trHeight w:val="1403"/>
        </w:trPr>
        <w:tc>
          <w:tcPr>
            <w:tcW w:w="4815" w:type="dxa"/>
          </w:tcPr>
          <w:p w14:paraId="0897D04E" w14:textId="77777777" w:rsidR="00803D6F" w:rsidRPr="007E2816" w:rsidRDefault="00803D6F" w:rsidP="008D3497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marché</w:t>
            </w:r>
          </w:p>
          <w:p w14:paraId="431EE460" w14:textId="6DB12A8C" w:rsidR="00803D6F" w:rsidRDefault="00985BAC" w:rsidP="0029599F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N</w:t>
            </w:r>
            <w:r w:rsidR="00803D6F">
              <w:t>otion de marché</w:t>
            </w:r>
          </w:p>
          <w:p w14:paraId="132C1EE1" w14:textId="7E03DF77" w:rsidR="00803D6F" w:rsidRDefault="00985BAC" w:rsidP="0029599F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O</w:t>
            </w:r>
            <w:r w:rsidR="00803D6F">
              <w:t>ffre et demande et sa construction graphique</w:t>
            </w:r>
          </w:p>
          <w:p w14:paraId="4AB86627" w14:textId="233EC7C2" w:rsidR="00803D6F" w:rsidRDefault="00803D6F" w:rsidP="0029599F">
            <w:pPr>
              <w:pStyle w:val="Paragraphedeliste"/>
              <w:spacing w:before="0" w:line="264" w:lineRule="auto"/>
              <w:ind w:left="720" w:firstLine="0"/>
            </w:pPr>
          </w:p>
        </w:tc>
        <w:tc>
          <w:tcPr>
            <w:tcW w:w="4961" w:type="dxa"/>
          </w:tcPr>
          <w:p w14:paraId="14B01D54" w14:textId="58457980" w:rsidR="00CA38D6" w:rsidRPr="00DE4BB8" w:rsidRDefault="00803D6F" w:rsidP="00DE4BB8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marché</w:t>
            </w:r>
          </w:p>
          <w:p w14:paraId="7A3566CF" w14:textId="0A9B085F" w:rsidR="00895120" w:rsidRDefault="00985BAC" w:rsidP="00F264C1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S</w:t>
            </w:r>
            <w:r w:rsidR="00F264C1">
              <w:t>tructure d’un marché (</w:t>
            </w:r>
            <w:r w:rsidR="00895120">
              <w:t xml:space="preserve">offre </w:t>
            </w:r>
            <w:r w:rsidR="00F264C1">
              <w:t xml:space="preserve">et </w:t>
            </w:r>
            <w:r w:rsidR="00895120">
              <w:t>demande d</w:t>
            </w:r>
            <w:r w:rsidR="00F264C1">
              <w:t>’un</w:t>
            </w:r>
            <w:r w:rsidR="00895120">
              <w:t xml:space="preserve"> produit</w:t>
            </w:r>
            <w:r w:rsidR="00F264C1">
              <w:t>)</w:t>
            </w:r>
          </w:p>
          <w:p w14:paraId="2ACE1120" w14:textId="3B1A77AD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M</w:t>
            </w:r>
            <w:r w:rsidR="00803D6F">
              <w:t>arketing (les 4 P)</w:t>
            </w:r>
          </w:p>
          <w:p w14:paraId="1F33C554" w14:textId="3F7CB25F" w:rsidR="00803D6F" w:rsidRDefault="00985BAC" w:rsidP="00985BAC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C</w:t>
            </w:r>
            <w:r w:rsidR="00803D6F">
              <w:t>ycle de vie du produit</w:t>
            </w:r>
          </w:p>
        </w:tc>
      </w:tr>
      <w:tr w:rsidR="00803D6F" w14:paraId="338D1996" w14:textId="77777777" w:rsidTr="004C4E96">
        <w:trPr>
          <w:trHeight w:val="1686"/>
        </w:trPr>
        <w:tc>
          <w:tcPr>
            <w:tcW w:w="4815" w:type="dxa"/>
          </w:tcPr>
          <w:p w14:paraId="5910365A" w14:textId="77777777" w:rsidR="00803D6F" w:rsidRPr="007E2816" w:rsidRDefault="00803D6F" w:rsidP="008D3497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Droit</w:t>
            </w:r>
          </w:p>
          <w:p w14:paraId="5E01F847" w14:textId="77777777" w:rsidR="00803D6F" w:rsidRDefault="00803D6F" w:rsidP="0029599F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Droits – devoirs – obligations – règles juridiques - sanctions</w:t>
            </w:r>
          </w:p>
          <w:p w14:paraId="0C9EB6FB" w14:textId="678FA1B1" w:rsidR="00803D6F" w:rsidRDefault="00985BAC" w:rsidP="0029599F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N</w:t>
            </w:r>
            <w:r w:rsidR="00803D6F">
              <w:t>écessités du droit</w:t>
            </w:r>
          </w:p>
          <w:p w14:paraId="5114B46A" w14:textId="77777777" w:rsidR="00803D6F" w:rsidRDefault="00803D6F" w:rsidP="0029599F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Identification de la personne physique</w:t>
            </w:r>
          </w:p>
          <w:p w14:paraId="3A09F8A3" w14:textId="1DF42D80" w:rsidR="00803D6F" w:rsidRDefault="00803D6F" w:rsidP="00ED2366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Personnes morales – personnes physiques</w:t>
            </w:r>
          </w:p>
        </w:tc>
        <w:tc>
          <w:tcPr>
            <w:tcW w:w="4961" w:type="dxa"/>
          </w:tcPr>
          <w:p w14:paraId="61084F1B" w14:textId="77777777" w:rsidR="00803D6F" w:rsidRPr="007E2816" w:rsidRDefault="00803D6F" w:rsidP="008D3497">
            <w:pPr>
              <w:spacing w:line="264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Droit</w:t>
            </w:r>
          </w:p>
          <w:p w14:paraId="16CFB353" w14:textId="58C5DCB6" w:rsidR="00803D6F" w:rsidRDefault="00985BAC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O</w:t>
            </w:r>
            <w:r w:rsidR="00803D6F">
              <w:t>rganisation du monde judiciaire</w:t>
            </w:r>
          </w:p>
          <w:p w14:paraId="391F3BF0" w14:textId="77777777" w:rsidR="00803D6F" w:rsidRDefault="00803D6F" w:rsidP="00735974">
            <w:pPr>
              <w:pStyle w:val="Paragraphedeliste"/>
              <w:numPr>
                <w:ilvl w:val="0"/>
                <w:numId w:val="2"/>
              </w:numPr>
              <w:spacing w:before="0" w:line="264" w:lineRule="auto"/>
              <w:ind w:left="567"/>
            </w:pPr>
            <w:r>
              <w:t>Notions de droit commercial, social et fiscal</w:t>
            </w:r>
          </w:p>
          <w:p w14:paraId="2B94485A" w14:textId="77777777" w:rsidR="00803D6F" w:rsidRDefault="00803D6F" w:rsidP="00735974">
            <w:pPr>
              <w:widowControl w:val="0"/>
              <w:spacing w:line="264" w:lineRule="auto"/>
            </w:pPr>
          </w:p>
        </w:tc>
      </w:tr>
    </w:tbl>
    <w:p w14:paraId="58DB24BB" w14:textId="1B48BC8A" w:rsidR="004D1B53" w:rsidRDefault="004D1B53" w:rsidP="004D1B53"/>
    <w:p w14:paraId="5075C43C" w14:textId="50F62449" w:rsidR="00BB54CA" w:rsidRDefault="00BB54CA" w:rsidP="004D1B53"/>
    <w:p w14:paraId="0DDAF358" w14:textId="23B61CE2" w:rsidR="00BB54CA" w:rsidRDefault="00BB54CA" w:rsidP="004D1B53"/>
    <w:p w14:paraId="1C7EE07F" w14:textId="4A772C2C" w:rsidR="00BB54CA" w:rsidRDefault="00BB54CA" w:rsidP="004D1B53"/>
    <w:p w14:paraId="58E66B20" w14:textId="77777777" w:rsidR="00BB54CA" w:rsidRDefault="00BB54CA" w:rsidP="004D1B53"/>
    <w:p w14:paraId="5C411111" w14:textId="5E8D40BC" w:rsidR="004D1B53" w:rsidRPr="004D1B53" w:rsidRDefault="004D1B53" w:rsidP="00243576">
      <w:pPr>
        <w:rPr>
          <w:color w:val="4472C4" w:themeColor="accent1"/>
          <w:sz w:val="32"/>
          <w:szCs w:val="32"/>
        </w:rPr>
      </w:pPr>
      <w:r w:rsidRPr="004D1B53">
        <w:rPr>
          <w:color w:val="4472C4" w:themeColor="accent1"/>
          <w:sz w:val="32"/>
          <w:szCs w:val="32"/>
        </w:rPr>
        <w:lastRenderedPageBreak/>
        <w:t xml:space="preserve">Savoirs essentiels au terme du </w:t>
      </w:r>
      <w:r w:rsidR="00090FDE">
        <w:rPr>
          <w:color w:val="4472C4" w:themeColor="accent1"/>
          <w:sz w:val="32"/>
          <w:szCs w:val="32"/>
        </w:rPr>
        <w:t>3</w:t>
      </w:r>
      <w:r w:rsidRPr="004D1B53">
        <w:rPr>
          <w:color w:val="4472C4" w:themeColor="accent1"/>
          <w:sz w:val="32"/>
          <w:szCs w:val="32"/>
          <w:vertAlign w:val="superscript"/>
        </w:rPr>
        <w:t>e</w:t>
      </w:r>
      <w:r>
        <w:rPr>
          <w:color w:val="4472C4" w:themeColor="accent1"/>
          <w:sz w:val="32"/>
          <w:szCs w:val="32"/>
        </w:rPr>
        <w:t xml:space="preserve"> </w:t>
      </w:r>
      <w:r w:rsidRPr="004D1B53">
        <w:rPr>
          <w:color w:val="4472C4" w:themeColor="accent1"/>
          <w:sz w:val="32"/>
          <w:szCs w:val="32"/>
        </w:rPr>
        <w:t>degré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1C4F" w14:paraId="4D062680" w14:textId="77777777" w:rsidTr="004C4E96">
        <w:trPr>
          <w:trHeight w:val="112"/>
        </w:trPr>
        <w:tc>
          <w:tcPr>
            <w:tcW w:w="9776" w:type="dxa"/>
          </w:tcPr>
          <w:p w14:paraId="2EFA2264" w14:textId="06E167F4" w:rsidR="00C31C4F" w:rsidRDefault="00C31C4F" w:rsidP="00DC36C8">
            <w:pPr>
              <w:widowControl w:val="0"/>
            </w:pPr>
            <w:r w:rsidRPr="00C31C4F">
              <w:rPr>
                <w:color w:val="767171" w:themeColor="background2" w:themeShade="80"/>
                <w:sz w:val="32"/>
                <w:szCs w:val="36"/>
              </w:rPr>
              <w:t>5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  <w:r w:rsidR="001C6D00">
              <w:rPr>
                <w:color w:val="767171" w:themeColor="background2" w:themeShade="80"/>
                <w:sz w:val="32"/>
                <w:szCs w:val="36"/>
              </w:rPr>
              <w:t xml:space="preserve"> et 6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  <w:r w:rsidR="005F4CDD">
              <w:rPr>
                <w:color w:val="767171" w:themeColor="background2" w:themeShade="80"/>
                <w:sz w:val="32"/>
                <w:szCs w:val="36"/>
              </w:rPr>
              <w:t xml:space="preserve"> </w:t>
            </w:r>
          </w:p>
        </w:tc>
      </w:tr>
      <w:tr w:rsidR="00C31C4F" w14:paraId="3AEA5A49" w14:textId="77777777" w:rsidTr="004C4E96">
        <w:trPr>
          <w:trHeight w:val="727"/>
        </w:trPr>
        <w:tc>
          <w:tcPr>
            <w:tcW w:w="9776" w:type="dxa"/>
          </w:tcPr>
          <w:p w14:paraId="707F8948" w14:textId="77777777" w:rsidR="00C16100" w:rsidRPr="005C1815" w:rsidRDefault="00C16100" w:rsidP="005C1815">
            <w:pPr>
              <w:spacing w:line="264" w:lineRule="auto"/>
              <w:rPr>
                <w:b/>
                <w:bCs/>
              </w:rPr>
            </w:pPr>
            <w:r w:rsidRPr="005C1815">
              <w:rPr>
                <w:b/>
                <w:bCs/>
              </w:rPr>
              <w:t>Le choix économique ou l’économie politique</w:t>
            </w:r>
          </w:p>
          <w:p w14:paraId="67C29474" w14:textId="23A6E0A5" w:rsidR="00C16100" w:rsidRDefault="00CA2AF0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Notions de rareté des ressources</w:t>
            </w:r>
            <w:r w:rsidR="005151A8">
              <w:t xml:space="preserve"> et choix qui en découlent</w:t>
            </w:r>
          </w:p>
          <w:p w14:paraId="16D9C1BE" w14:textId="0A39B809" w:rsidR="00C31C4F" w:rsidRPr="00803D6F" w:rsidRDefault="005F4CDD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M</w:t>
            </w:r>
            <w:r w:rsidR="00C16100">
              <w:t>onnaie</w:t>
            </w:r>
            <w:r>
              <w:t> :</w:t>
            </w:r>
            <w:r w:rsidR="00C711BB">
              <w:t xml:space="preserve"> </w:t>
            </w:r>
            <w:r w:rsidR="00C16100">
              <w:t>formes et fonctions</w:t>
            </w:r>
            <w:r w:rsidR="00680161">
              <w:t xml:space="preserve">, création </w:t>
            </w:r>
            <w:r w:rsidR="00660B1E">
              <w:t>monétaire</w:t>
            </w:r>
          </w:p>
        </w:tc>
      </w:tr>
      <w:tr w:rsidR="005C1815" w14:paraId="5CD64654" w14:textId="77777777" w:rsidTr="004C4E96">
        <w:trPr>
          <w:trHeight w:val="2610"/>
        </w:trPr>
        <w:tc>
          <w:tcPr>
            <w:tcW w:w="9776" w:type="dxa"/>
          </w:tcPr>
          <w:p w14:paraId="5B4C45F7" w14:textId="77777777" w:rsidR="005C1815" w:rsidRPr="005C1815" w:rsidRDefault="005C1815" w:rsidP="005C1815">
            <w:pPr>
              <w:spacing w:line="264" w:lineRule="auto"/>
              <w:rPr>
                <w:b/>
                <w:bCs/>
              </w:rPr>
            </w:pPr>
            <w:r w:rsidRPr="005C1815">
              <w:rPr>
                <w:b/>
                <w:bCs/>
              </w:rPr>
              <w:t>Analyse macroéconomique</w:t>
            </w:r>
          </w:p>
          <w:p w14:paraId="18250952" w14:textId="7094DC85" w:rsidR="005C1815" w:rsidRDefault="00F24157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B</w:t>
            </w:r>
            <w:r w:rsidR="005C1815">
              <w:t>ases de la comptabilité nationale</w:t>
            </w:r>
          </w:p>
          <w:p w14:paraId="5FE35A8A" w14:textId="5152C580" w:rsidR="005C1815" w:rsidRDefault="00F24157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F</w:t>
            </w:r>
            <w:r w:rsidR="005C1815">
              <w:t>acteurs de croissance : consommation, investissement, dépenses gouvernementales</w:t>
            </w:r>
          </w:p>
          <w:p w14:paraId="3015527A" w14:textId="6BEFA0DB" w:rsidR="005C1815" w:rsidRDefault="00F24157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F</w:t>
            </w:r>
            <w:r w:rsidR="005C1815">
              <w:t>ondements théoriques des politiques économiques</w:t>
            </w:r>
          </w:p>
          <w:p w14:paraId="3D09CCD7" w14:textId="369D358B" w:rsidR="005C1815" w:rsidRDefault="00A17218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Croi</w:t>
            </w:r>
            <w:r w:rsidR="005C1815">
              <w:t xml:space="preserve">ssance et </w:t>
            </w:r>
            <w:r>
              <w:t>D</w:t>
            </w:r>
            <w:r w:rsidR="005C1815">
              <w:t>éveloppement : les indicateurs de développement</w:t>
            </w:r>
          </w:p>
          <w:p w14:paraId="3C0428A0" w14:textId="0063C7D6" w:rsidR="005C1815" w:rsidRDefault="00A17218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D</w:t>
            </w:r>
            <w:r w:rsidR="005C1815">
              <w:t>éveloppement durable</w:t>
            </w:r>
          </w:p>
          <w:p w14:paraId="069757C6" w14:textId="77777777" w:rsidR="005C1815" w:rsidRDefault="005C1815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Formes concrètes d’organisation économique (approche classique, néoclassique, keynésienne)</w:t>
            </w:r>
          </w:p>
          <w:p w14:paraId="770EEBA4" w14:textId="1A6456A4" w:rsidR="005C1815" w:rsidRDefault="00A17218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S</w:t>
            </w:r>
            <w:r w:rsidR="005C1815">
              <w:t xml:space="preserve">ystème fédéral belge : le rôle régulateur de l’Etat </w:t>
            </w:r>
          </w:p>
          <w:p w14:paraId="50E0D849" w14:textId="31D24B26" w:rsidR="005C1815" w:rsidRDefault="00A17218" w:rsidP="00501502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O</w:t>
            </w:r>
            <w:r w:rsidR="005C1815">
              <w:t>rganisation actuelle de la sécurité sociale</w:t>
            </w:r>
          </w:p>
        </w:tc>
      </w:tr>
      <w:tr w:rsidR="00501502" w14:paraId="62BBF0C4" w14:textId="77777777" w:rsidTr="004C4E96">
        <w:trPr>
          <w:trHeight w:val="1666"/>
        </w:trPr>
        <w:tc>
          <w:tcPr>
            <w:tcW w:w="9776" w:type="dxa"/>
          </w:tcPr>
          <w:p w14:paraId="57B097B1" w14:textId="77777777" w:rsidR="00501502" w:rsidRPr="00A17218" w:rsidRDefault="00501502" w:rsidP="00501502">
            <w:pPr>
              <w:spacing w:line="264" w:lineRule="auto"/>
              <w:rPr>
                <w:b/>
                <w:bCs/>
              </w:rPr>
            </w:pPr>
            <w:r w:rsidRPr="00A17218">
              <w:rPr>
                <w:b/>
                <w:bCs/>
              </w:rPr>
              <w:t>Analyse microéconomique</w:t>
            </w:r>
          </w:p>
          <w:p w14:paraId="2CB84ABA" w14:textId="15CDF1B4" w:rsidR="00501502" w:rsidRDefault="00501502" w:rsidP="00501502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Internationalisation des entreprises et des facteurs de production : types de concentration</w:t>
            </w:r>
            <w:r w:rsidR="006A26F1">
              <w:t>s</w:t>
            </w:r>
          </w:p>
          <w:p w14:paraId="35178ADA" w14:textId="77777777" w:rsidR="00501502" w:rsidRDefault="00501502" w:rsidP="00501502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Formation des prix en fonction des structures de marchés : concurrence parfaite, monopole, oligopole</w:t>
            </w:r>
          </w:p>
          <w:p w14:paraId="63369965" w14:textId="73E529C2" w:rsidR="00501502" w:rsidRDefault="00501502" w:rsidP="00501502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Marché du travail :  offre et demande, notion de chômage</w:t>
            </w:r>
          </w:p>
          <w:p w14:paraId="50D3A709" w14:textId="76DB1655" w:rsidR="00501502" w:rsidRPr="005C1815" w:rsidRDefault="00501502" w:rsidP="00501502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  <w:rPr>
                <w:b/>
                <w:bCs/>
              </w:rPr>
            </w:pPr>
            <w:r>
              <w:t>Marché du capital : offre et demande</w:t>
            </w:r>
          </w:p>
        </w:tc>
      </w:tr>
      <w:tr w:rsidR="005C1815" w14:paraId="03E36DE7" w14:textId="77777777" w:rsidTr="004C4E96">
        <w:trPr>
          <w:trHeight w:val="1132"/>
        </w:trPr>
        <w:tc>
          <w:tcPr>
            <w:tcW w:w="9776" w:type="dxa"/>
          </w:tcPr>
          <w:p w14:paraId="5EF07481" w14:textId="77777777" w:rsidR="005C1815" w:rsidRPr="006A26F1" w:rsidRDefault="005C1815" w:rsidP="005C1815">
            <w:pPr>
              <w:spacing w:line="264" w:lineRule="auto"/>
              <w:rPr>
                <w:b/>
                <w:bCs/>
              </w:rPr>
            </w:pPr>
            <w:r w:rsidRPr="006A26F1">
              <w:rPr>
                <w:b/>
                <w:bCs/>
              </w:rPr>
              <w:t>Les échanges internationaux</w:t>
            </w:r>
          </w:p>
          <w:p w14:paraId="49B25480" w14:textId="3A5069A7" w:rsidR="005C1815" w:rsidRDefault="006A094C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S</w:t>
            </w:r>
            <w:r w:rsidR="005C1815">
              <w:t>ystème monétaire international</w:t>
            </w:r>
          </w:p>
          <w:p w14:paraId="596091F5" w14:textId="77777777" w:rsidR="005C1815" w:rsidRDefault="005C1815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Protectionnisme et libre échange</w:t>
            </w:r>
          </w:p>
          <w:p w14:paraId="29678844" w14:textId="43A8C0B8" w:rsidR="005C1815" w:rsidRDefault="006A094C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A</w:t>
            </w:r>
            <w:r w:rsidR="005C1815">
              <w:t>ccords internationaux</w:t>
            </w:r>
          </w:p>
        </w:tc>
      </w:tr>
      <w:tr w:rsidR="005C1815" w14:paraId="28070E05" w14:textId="77777777" w:rsidTr="004C4E96">
        <w:trPr>
          <w:trHeight w:val="217"/>
        </w:trPr>
        <w:tc>
          <w:tcPr>
            <w:tcW w:w="9776" w:type="dxa"/>
          </w:tcPr>
          <w:p w14:paraId="5F7BB622" w14:textId="7CA38A05" w:rsidR="005C1815" w:rsidRPr="007F0DB6" w:rsidRDefault="005C1815" w:rsidP="005C1815">
            <w:pPr>
              <w:spacing w:line="264" w:lineRule="auto"/>
              <w:rPr>
                <w:b/>
                <w:bCs/>
              </w:rPr>
            </w:pPr>
            <w:r w:rsidRPr="007F0DB6">
              <w:rPr>
                <w:b/>
                <w:bCs/>
              </w:rPr>
              <w:t>Politique économique européenne sur base d’un exemple concret</w:t>
            </w:r>
          </w:p>
        </w:tc>
      </w:tr>
      <w:tr w:rsidR="005C1815" w14:paraId="6C19A19C" w14:textId="77777777" w:rsidTr="00243576">
        <w:trPr>
          <w:trHeight w:val="1459"/>
        </w:trPr>
        <w:tc>
          <w:tcPr>
            <w:tcW w:w="9776" w:type="dxa"/>
          </w:tcPr>
          <w:p w14:paraId="3F541229" w14:textId="77777777" w:rsidR="005C1815" w:rsidRPr="007F0DB6" w:rsidRDefault="005C1815" w:rsidP="005C1815">
            <w:pPr>
              <w:spacing w:line="264" w:lineRule="auto"/>
              <w:rPr>
                <w:b/>
                <w:bCs/>
              </w:rPr>
            </w:pPr>
            <w:r w:rsidRPr="007F0DB6">
              <w:rPr>
                <w:b/>
                <w:bCs/>
              </w:rPr>
              <w:t>Economie politique et droit</w:t>
            </w:r>
          </w:p>
          <w:p w14:paraId="17499600" w14:textId="3F1FDA8E" w:rsidR="005C1815" w:rsidRDefault="005C1815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Droit public</w:t>
            </w:r>
            <w:r w:rsidR="006A094C">
              <w:t> : élaboration des textes légaux</w:t>
            </w:r>
          </w:p>
          <w:p w14:paraId="7D0C2F13" w14:textId="3DDEB347" w:rsidR="005C1815" w:rsidRDefault="005C1815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Droit international</w:t>
            </w:r>
            <w:r w:rsidR="005914A8">
              <w:t> :</w:t>
            </w:r>
            <w:r w:rsidR="005627B0">
              <w:t xml:space="preserve"> systèmes judiciaires internationaux</w:t>
            </w:r>
          </w:p>
          <w:p w14:paraId="5776EB21" w14:textId="08E95B50" w:rsidR="005C1815" w:rsidRDefault="005C1815" w:rsidP="005C1815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Droit privé</w:t>
            </w:r>
            <w:r w:rsidR="00E242AD">
              <w:t> : analyse de lois</w:t>
            </w:r>
            <w:r w:rsidR="008864C9">
              <w:t xml:space="preserve"> sur base d’exemples concrets</w:t>
            </w:r>
          </w:p>
          <w:p w14:paraId="3964D3AF" w14:textId="3252C378" w:rsidR="005C1815" w:rsidRDefault="005C1815" w:rsidP="008864C9">
            <w:pPr>
              <w:pStyle w:val="Paragraphedeliste"/>
              <w:numPr>
                <w:ilvl w:val="0"/>
                <w:numId w:val="7"/>
              </w:numPr>
              <w:spacing w:before="0" w:line="264" w:lineRule="auto"/>
              <w:ind w:left="567"/>
            </w:pPr>
            <w:r>
              <w:t>Les contrats</w:t>
            </w:r>
          </w:p>
        </w:tc>
      </w:tr>
    </w:tbl>
    <w:p w14:paraId="23E6843B" w14:textId="77777777" w:rsidR="00243576" w:rsidRPr="00243576" w:rsidRDefault="00243576" w:rsidP="0031547C">
      <w:pPr>
        <w:spacing w:after="0"/>
        <w:rPr>
          <w:color w:val="4472C4" w:themeColor="accent1"/>
          <w:szCs w:val="22"/>
        </w:rPr>
      </w:pPr>
    </w:p>
    <w:p w14:paraId="3FE3BE5D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7B592F7A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5B03DF91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4E0FF533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58FF7273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73CAAC78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6E137B8C" w14:textId="77777777" w:rsidR="00A84E9B" w:rsidRDefault="00A84E9B" w:rsidP="00243576">
      <w:pPr>
        <w:rPr>
          <w:color w:val="4472C4" w:themeColor="accent1"/>
          <w:sz w:val="32"/>
          <w:szCs w:val="32"/>
        </w:rPr>
      </w:pPr>
    </w:p>
    <w:p w14:paraId="34412162" w14:textId="414779AB" w:rsidR="003C2F16" w:rsidRPr="0031547C" w:rsidRDefault="003C2F16" w:rsidP="00243576">
      <w:pPr>
        <w:rPr>
          <w:color w:val="4472C4" w:themeColor="accent1"/>
          <w:sz w:val="32"/>
          <w:szCs w:val="32"/>
        </w:rPr>
      </w:pPr>
      <w:r w:rsidRPr="0031547C">
        <w:rPr>
          <w:color w:val="4472C4" w:themeColor="accent1"/>
          <w:sz w:val="32"/>
          <w:szCs w:val="32"/>
        </w:rPr>
        <w:lastRenderedPageBreak/>
        <w:t>Savoir-faire essentiels au terme des 2</w:t>
      </w:r>
      <w:r w:rsidRPr="00BB54CA">
        <w:rPr>
          <w:color w:val="4472C4" w:themeColor="accent1"/>
          <w:sz w:val="32"/>
          <w:szCs w:val="32"/>
          <w:vertAlign w:val="superscript"/>
        </w:rPr>
        <w:t>e</w:t>
      </w:r>
      <w:r w:rsidRPr="0031547C">
        <w:rPr>
          <w:color w:val="4472C4" w:themeColor="accent1"/>
          <w:sz w:val="32"/>
          <w:szCs w:val="32"/>
        </w:rPr>
        <w:t xml:space="preserve"> et 3</w:t>
      </w:r>
      <w:r w:rsidRPr="00BB54CA">
        <w:rPr>
          <w:color w:val="4472C4" w:themeColor="accent1"/>
          <w:sz w:val="32"/>
          <w:szCs w:val="32"/>
          <w:vertAlign w:val="superscript"/>
        </w:rPr>
        <w:t>e</w:t>
      </w:r>
      <w:r w:rsidRPr="0031547C">
        <w:rPr>
          <w:color w:val="4472C4" w:themeColor="accent1"/>
          <w:sz w:val="32"/>
          <w:szCs w:val="32"/>
        </w:rPr>
        <w:t xml:space="preserve"> degré</w:t>
      </w:r>
      <w:r w:rsidR="001A7F8B" w:rsidRPr="0031547C">
        <w:rPr>
          <w:color w:val="4472C4" w:themeColor="accent1"/>
          <w:sz w:val="32"/>
          <w:szCs w:val="3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14639" w14:paraId="010800B7" w14:textId="77777777" w:rsidTr="0068115A">
        <w:tc>
          <w:tcPr>
            <w:tcW w:w="9514" w:type="dxa"/>
          </w:tcPr>
          <w:p w14:paraId="44883252" w14:textId="77777777" w:rsidR="00014639" w:rsidRDefault="00014639" w:rsidP="00014639">
            <w:pPr>
              <w:spacing w:line="264" w:lineRule="auto"/>
            </w:pPr>
            <w:r>
              <w:t>Lecture et construction de graphiques</w:t>
            </w:r>
          </w:p>
          <w:p w14:paraId="37FF55F2" w14:textId="77777777" w:rsidR="00014639" w:rsidRDefault="00014639" w:rsidP="00014639">
            <w:pPr>
              <w:spacing w:line="264" w:lineRule="auto"/>
            </w:pPr>
            <w:r>
              <w:t>Analyse de tableaux statistiques</w:t>
            </w:r>
          </w:p>
          <w:p w14:paraId="5990FCCE" w14:textId="77777777" w:rsidR="00014639" w:rsidRDefault="00014639" w:rsidP="00014639">
            <w:pPr>
              <w:spacing w:line="264" w:lineRule="auto"/>
            </w:pPr>
            <w:r>
              <w:t>Calcul de pourcentages et de moyennes</w:t>
            </w:r>
          </w:p>
          <w:p w14:paraId="2A3F4726" w14:textId="77777777" w:rsidR="00014639" w:rsidRDefault="00014639" w:rsidP="00014639">
            <w:pPr>
              <w:spacing w:line="264" w:lineRule="auto"/>
            </w:pPr>
            <w:r>
              <w:t>Calcul d’intérêts</w:t>
            </w:r>
          </w:p>
          <w:p w14:paraId="5D90CF30" w14:textId="77777777" w:rsidR="00014639" w:rsidRDefault="00014639" w:rsidP="00014639">
            <w:pPr>
              <w:spacing w:line="264" w:lineRule="auto"/>
            </w:pPr>
            <w:r>
              <w:t>Calcul de la productivité</w:t>
            </w:r>
          </w:p>
          <w:p w14:paraId="78F59953" w14:textId="42C6521B" w:rsidR="00014639" w:rsidRDefault="00014639" w:rsidP="00243576">
            <w:pPr>
              <w:spacing w:line="264" w:lineRule="auto"/>
            </w:pPr>
            <w:r>
              <w:t>Travail d’analyse et de recherche via internet</w:t>
            </w:r>
          </w:p>
        </w:tc>
      </w:tr>
    </w:tbl>
    <w:p w14:paraId="59E36799" w14:textId="77777777" w:rsidR="00243576" w:rsidRDefault="00243576" w:rsidP="00243576">
      <w:pPr>
        <w:spacing w:after="0" w:line="276" w:lineRule="auto"/>
        <w:jc w:val="both"/>
      </w:pPr>
    </w:p>
    <w:p w14:paraId="483D39AF" w14:textId="0D037D1D" w:rsidR="00243576" w:rsidRDefault="00243576" w:rsidP="00243576">
      <w:pPr>
        <w:spacing w:after="0" w:line="276" w:lineRule="auto"/>
        <w:jc w:val="both"/>
      </w:pPr>
      <w:r>
        <w:t>Pour toute question complémentaire, n’hésitez pas à nous contacter :</w:t>
      </w:r>
    </w:p>
    <w:p w14:paraId="6FDAC903" w14:textId="77777777" w:rsidR="00243576" w:rsidRDefault="00442155" w:rsidP="00243576">
      <w:pPr>
        <w:pStyle w:val="Paragraphedeliste"/>
        <w:numPr>
          <w:ilvl w:val="0"/>
          <w:numId w:val="9"/>
        </w:numPr>
        <w:spacing w:before="0" w:line="276" w:lineRule="auto"/>
        <w:jc w:val="both"/>
      </w:pPr>
      <w:hyperlink r:id="rId9" w:history="1">
        <w:r w:rsidR="00243576">
          <w:rPr>
            <w:rStyle w:val="Lienhypertexte"/>
          </w:rPr>
          <w:t>jeanmarie.bauduin@segec.be</w:t>
        </w:r>
      </w:hyperlink>
    </w:p>
    <w:p w14:paraId="375E5B25" w14:textId="77777777" w:rsidR="00243576" w:rsidRDefault="00442155" w:rsidP="00243576">
      <w:pPr>
        <w:pStyle w:val="Paragraphedeliste"/>
        <w:numPr>
          <w:ilvl w:val="0"/>
          <w:numId w:val="9"/>
        </w:numPr>
        <w:spacing w:before="0" w:line="276" w:lineRule="auto"/>
        <w:jc w:val="both"/>
      </w:pPr>
      <w:hyperlink r:id="rId10" w:history="1">
        <w:r w:rsidR="00243576">
          <w:rPr>
            <w:rStyle w:val="Lienhypertexte"/>
          </w:rPr>
          <w:t>catherine.libert@segec.be</w:t>
        </w:r>
      </w:hyperlink>
    </w:p>
    <w:p w14:paraId="4A326296" w14:textId="5059CCD6" w:rsidR="00D96D65" w:rsidRPr="00A43906" w:rsidRDefault="00442155" w:rsidP="00EA0550">
      <w:pPr>
        <w:pStyle w:val="Paragraphedeliste"/>
        <w:numPr>
          <w:ilvl w:val="0"/>
          <w:numId w:val="9"/>
        </w:numPr>
        <w:spacing w:before="0" w:line="276" w:lineRule="auto"/>
        <w:jc w:val="both"/>
        <w:rPr>
          <w:rStyle w:val="Lienhypertexte"/>
          <w:color w:val="auto"/>
          <w:u w:val="none"/>
        </w:rPr>
      </w:pPr>
      <w:hyperlink r:id="rId11" w:history="1">
        <w:r w:rsidR="00243576" w:rsidRPr="00243576">
          <w:rPr>
            <w:rStyle w:val="Lienhypertexte"/>
          </w:rPr>
          <w:t>genevieve.perrad@segec.be</w:t>
        </w:r>
      </w:hyperlink>
    </w:p>
    <w:p w14:paraId="11C1C7CF" w14:textId="77777777" w:rsidR="00A84E9B" w:rsidRDefault="00A84E9B" w:rsidP="00A43906"/>
    <w:p w14:paraId="6C256862" w14:textId="7C778F4F" w:rsidR="00A43906" w:rsidRDefault="00A43906" w:rsidP="00A43906">
      <w:r>
        <w:t xml:space="preserve">Vous trouverez également de nombreuses informations et ressources sur notre site à l’adresse : </w:t>
      </w:r>
      <w:hyperlink r:id="rId12" w:history="1">
        <w:r w:rsidRPr="00A43906">
          <w:rPr>
            <w:rStyle w:val="Lienhypertexte"/>
            <w:rFonts w:cs="Calibri"/>
          </w:rPr>
          <w:t>https://ses.fesec.be/</w:t>
        </w:r>
      </w:hyperlink>
    </w:p>
    <w:p w14:paraId="20141A2A" w14:textId="77777777" w:rsidR="00A43906" w:rsidRDefault="00A43906" w:rsidP="00A43906">
      <w:pPr>
        <w:spacing w:line="276" w:lineRule="auto"/>
        <w:ind w:left="360"/>
        <w:jc w:val="both"/>
      </w:pPr>
    </w:p>
    <w:sectPr w:rsidR="00A43906" w:rsidSect="004421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91" w:bottom="1418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5707" w14:textId="77777777" w:rsidR="00C60C5F" w:rsidRDefault="00C60C5F" w:rsidP="006748E4">
      <w:pPr>
        <w:spacing w:after="0" w:line="240" w:lineRule="auto"/>
      </w:pPr>
      <w:r>
        <w:separator/>
      </w:r>
    </w:p>
  </w:endnote>
  <w:endnote w:type="continuationSeparator" w:id="0">
    <w:p w14:paraId="70B82FCA" w14:textId="77777777" w:rsidR="00C60C5F" w:rsidRDefault="00C60C5F" w:rsidP="0067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5BD4" w14:textId="77777777" w:rsidR="00442155" w:rsidRDefault="004421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A5E0" w14:textId="1BE30927" w:rsidR="006748E4" w:rsidRPr="00442155" w:rsidRDefault="00442155" w:rsidP="00442155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inline distT="0" distB="0" distL="0" distR="0" wp14:anchorId="784FB2E2" wp14:editId="248E9199">
          <wp:extent cx="723900" cy="424815"/>
          <wp:effectExtent l="0" t="0" r="0" b="0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491">
      <w:rPr>
        <w:sz w:val="18"/>
        <w:szCs w:val="18"/>
      </w:rPr>
      <w:tab/>
      <w:t xml:space="preserve">Sciences économiques et sociales - </w:t>
    </w:r>
    <w:r w:rsidRPr="00442155">
      <w:rPr>
        <w:sz w:val="18"/>
        <w:szCs w:val="18"/>
      </w:rPr>
      <w:t xml:space="preserve">Sciences économiques  D2D3 </w:t>
    </w:r>
    <w:r w:rsidRPr="00442155">
      <w:rPr>
        <w:sz w:val="18"/>
        <w:szCs w:val="18"/>
      </w:rPr>
      <w:t>HGT</w:t>
    </w:r>
    <w:bookmarkStart w:id="2" w:name="_GoBack"/>
    <w:bookmarkEnd w:id="2"/>
    <w:r w:rsidRPr="002B1491">
      <w:rPr>
        <w:sz w:val="18"/>
        <w:szCs w:val="18"/>
      </w:rPr>
      <w:t xml:space="preserve"> – Essentiels</w:t>
    </w:r>
    <w:r w:rsidRPr="002B1491"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34A7" w14:textId="77777777" w:rsidR="00442155" w:rsidRDefault="004421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30AF" w14:textId="77777777" w:rsidR="00C60C5F" w:rsidRDefault="00C60C5F" w:rsidP="006748E4">
      <w:pPr>
        <w:spacing w:after="0" w:line="240" w:lineRule="auto"/>
      </w:pPr>
      <w:r>
        <w:separator/>
      </w:r>
    </w:p>
  </w:footnote>
  <w:footnote w:type="continuationSeparator" w:id="0">
    <w:p w14:paraId="05C4FA5F" w14:textId="77777777" w:rsidR="00C60C5F" w:rsidRDefault="00C60C5F" w:rsidP="0067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3F29" w14:textId="77777777" w:rsidR="00442155" w:rsidRDefault="004421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5788" w14:textId="77777777" w:rsidR="00442155" w:rsidRPr="00442155" w:rsidRDefault="00442155" w:rsidP="004421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9C7D" w14:textId="77777777" w:rsidR="00442155" w:rsidRDefault="004421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3B7"/>
    <w:multiLevelType w:val="hybridMultilevel"/>
    <w:tmpl w:val="721653D8"/>
    <w:lvl w:ilvl="0" w:tplc="71CAE5B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D6898"/>
    <w:multiLevelType w:val="hybridMultilevel"/>
    <w:tmpl w:val="BF92E298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964"/>
    <w:multiLevelType w:val="hybridMultilevel"/>
    <w:tmpl w:val="16E23536"/>
    <w:lvl w:ilvl="0" w:tplc="48A08B44">
      <w:start w:val="1"/>
      <w:numFmt w:val="decimal"/>
      <w:lvlText w:val="%1."/>
      <w:lvlJc w:val="left"/>
      <w:pPr>
        <w:ind w:left="2628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80C0019">
      <w:start w:val="1"/>
      <w:numFmt w:val="lowerLetter"/>
      <w:lvlText w:val="%2."/>
      <w:lvlJc w:val="left"/>
      <w:pPr>
        <w:ind w:left="3348" w:hanging="360"/>
      </w:pPr>
    </w:lvl>
    <w:lvl w:ilvl="2" w:tplc="080C001B">
      <w:start w:val="1"/>
      <w:numFmt w:val="lowerRoman"/>
      <w:lvlText w:val="%3."/>
      <w:lvlJc w:val="right"/>
      <w:pPr>
        <w:ind w:left="4068" w:hanging="180"/>
      </w:pPr>
    </w:lvl>
    <w:lvl w:ilvl="3" w:tplc="080C000F">
      <w:start w:val="1"/>
      <w:numFmt w:val="decimal"/>
      <w:lvlText w:val="%4."/>
      <w:lvlJc w:val="left"/>
      <w:pPr>
        <w:ind w:left="4788" w:hanging="360"/>
      </w:pPr>
    </w:lvl>
    <w:lvl w:ilvl="4" w:tplc="080C0019">
      <w:start w:val="1"/>
      <w:numFmt w:val="lowerLetter"/>
      <w:lvlText w:val="%5."/>
      <w:lvlJc w:val="left"/>
      <w:pPr>
        <w:ind w:left="5508" w:hanging="360"/>
      </w:pPr>
    </w:lvl>
    <w:lvl w:ilvl="5" w:tplc="080C001B">
      <w:start w:val="1"/>
      <w:numFmt w:val="lowerRoman"/>
      <w:lvlText w:val="%6."/>
      <w:lvlJc w:val="right"/>
      <w:pPr>
        <w:ind w:left="6228" w:hanging="180"/>
      </w:pPr>
    </w:lvl>
    <w:lvl w:ilvl="6" w:tplc="080C000F">
      <w:start w:val="1"/>
      <w:numFmt w:val="decimal"/>
      <w:lvlText w:val="%7."/>
      <w:lvlJc w:val="left"/>
      <w:pPr>
        <w:ind w:left="6948" w:hanging="360"/>
      </w:pPr>
    </w:lvl>
    <w:lvl w:ilvl="7" w:tplc="080C0019">
      <w:start w:val="1"/>
      <w:numFmt w:val="lowerLetter"/>
      <w:lvlText w:val="%8."/>
      <w:lvlJc w:val="left"/>
      <w:pPr>
        <w:ind w:left="7668" w:hanging="360"/>
      </w:pPr>
    </w:lvl>
    <w:lvl w:ilvl="8" w:tplc="080C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B53715C"/>
    <w:multiLevelType w:val="hybridMultilevel"/>
    <w:tmpl w:val="FFA89B94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43A6"/>
    <w:multiLevelType w:val="hybridMultilevel"/>
    <w:tmpl w:val="0C9AF60E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6370"/>
    <w:multiLevelType w:val="hybridMultilevel"/>
    <w:tmpl w:val="2876A4CE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06"/>
    <w:rsid w:val="00011516"/>
    <w:rsid w:val="00014639"/>
    <w:rsid w:val="000154A1"/>
    <w:rsid w:val="0002090A"/>
    <w:rsid w:val="0003068E"/>
    <w:rsid w:val="000373D5"/>
    <w:rsid w:val="00043DDE"/>
    <w:rsid w:val="00056734"/>
    <w:rsid w:val="00090FDE"/>
    <w:rsid w:val="000A6753"/>
    <w:rsid w:val="000C212F"/>
    <w:rsid w:val="000D0FDE"/>
    <w:rsid w:val="000D30BE"/>
    <w:rsid w:val="000F1652"/>
    <w:rsid w:val="000F55EB"/>
    <w:rsid w:val="00117279"/>
    <w:rsid w:val="00126123"/>
    <w:rsid w:val="0015754D"/>
    <w:rsid w:val="00160233"/>
    <w:rsid w:val="001617C9"/>
    <w:rsid w:val="00163045"/>
    <w:rsid w:val="00171310"/>
    <w:rsid w:val="00183256"/>
    <w:rsid w:val="00187A3A"/>
    <w:rsid w:val="00195EFD"/>
    <w:rsid w:val="001A0BC8"/>
    <w:rsid w:val="001A7F8B"/>
    <w:rsid w:val="001C6D00"/>
    <w:rsid w:val="001D3555"/>
    <w:rsid w:val="001E7939"/>
    <w:rsid w:val="00234D11"/>
    <w:rsid w:val="00243576"/>
    <w:rsid w:val="002551B8"/>
    <w:rsid w:val="00261296"/>
    <w:rsid w:val="00261E6F"/>
    <w:rsid w:val="002629CA"/>
    <w:rsid w:val="0028647E"/>
    <w:rsid w:val="00292093"/>
    <w:rsid w:val="0029599F"/>
    <w:rsid w:val="002A0118"/>
    <w:rsid w:val="002E1ADF"/>
    <w:rsid w:val="002F1877"/>
    <w:rsid w:val="002F1D23"/>
    <w:rsid w:val="002F2861"/>
    <w:rsid w:val="00314F17"/>
    <w:rsid w:val="0031547C"/>
    <w:rsid w:val="003221D0"/>
    <w:rsid w:val="00333D3A"/>
    <w:rsid w:val="003646FA"/>
    <w:rsid w:val="00380989"/>
    <w:rsid w:val="00380DF5"/>
    <w:rsid w:val="003831DD"/>
    <w:rsid w:val="00384A3B"/>
    <w:rsid w:val="003A28AB"/>
    <w:rsid w:val="003C2F16"/>
    <w:rsid w:val="003C4146"/>
    <w:rsid w:val="003D1EED"/>
    <w:rsid w:val="004148F9"/>
    <w:rsid w:val="00421944"/>
    <w:rsid w:val="00422084"/>
    <w:rsid w:val="00442155"/>
    <w:rsid w:val="0045042D"/>
    <w:rsid w:val="00455F1F"/>
    <w:rsid w:val="00491C03"/>
    <w:rsid w:val="00492F16"/>
    <w:rsid w:val="004A6B1E"/>
    <w:rsid w:val="004C21E9"/>
    <w:rsid w:val="004C4E96"/>
    <w:rsid w:val="004D1B53"/>
    <w:rsid w:val="004D76C8"/>
    <w:rsid w:val="004F23F4"/>
    <w:rsid w:val="004F7369"/>
    <w:rsid w:val="00501502"/>
    <w:rsid w:val="00506526"/>
    <w:rsid w:val="005139F7"/>
    <w:rsid w:val="005151A8"/>
    <w:rsid w:val="00536A9C"/>
    <w:rsid w:val="00555B37"/>
    <w:rsid w:val="005627B0"/>
    <w:rsid w:val="00570106"/>
    <w:rsid w:val="005866E9"/>
    <w:rsid w:val="005914A8"/>
    <w:rsid w:val="005938FB"/>
    <w:rsid w:val="005B6E81"/>
    <w:rsid w:val="005C1815"/>
    <w:rsid w:val="005E14B1"/>
    <w:rsid w:val="005F4CDD"/>
    <w:rsid w:val="005F777B"/>
    <w:rsid w:val="00601ABB"/>
    <w:rsid w:val="00622FE3"/>
    <w:rsid w:val="00636FA9"/>
    <w:rsid w:val="00660B1E"/>
    <w:rsid w:val="006748E4"/>
    <w:rsid w:val="00680161"/>
    <w:rsid w:val="0068115A"/>
    <w:rsid w:val="006A094C"/>
    <w:rsid w:val="006A1EE1"/>
    <w:rsid w:val="006A26F1"/>
    <w:rsid w:val="006D1942"/>
    <w:rsid w:val="006E1892"/>
    <w:rsid w:val="006F5393"/>
    <w:rsid w:val="00712410"/>
    <w:rsid w:val="00720270"/>
    <w:rsid w:val="00735974"/>
    <w:rsid w:val="00742483"/>
    <w:rsid w:val="00753402"/>
    <w:rsid w:val="00784E40"/>
    <w:rsid w:val="007A1385"/>
    <w:rsid w:val="007B0316"/>
    <w:rsid w:val="007D2015"/>
    <w:rsid w:val="007E2816"/>
    <w:rsid w:val="007F0DB6"/>
    <w:rsid w:val="008028E5"/>
    <w:rsid w:val="00803D6F"/>
    <w:rsid w:val="008138E2"/>
    <w:rsid w:val="00836791"/>
    <w:rsid w:val="00847744"/>
    <w:rsid w:val="008748FB"/>
    <w:rsid w:val="00880431"/>
    <w:rsid w:val="0088352D"/>
    <w:rsid w:val="008861F2"/>
    <w:rsid w:val="008864C9"/>
    <w:rsid w:val="00895120"/>
    <w:rsid w:val="008B71C5"/>
    <w:rsid w:val="008C4911"/>
    <w:rsid w:val="008D3497"/>
    <w:rsid w:val="00903395"/>
    <w:rsid w:val="00911A77"/>
    <w:rsid w:val="00916686"/>
    <w:rsid w:val="00956FB0"/>
    <w:rsid w:val="00964BBD"/>
    <w:rsid w:val="0098199A"/>
    <w:rsid w:val="00985BAC"/>
    <w:rsid w:val="009A6F84"/>
    <w:rsid w:val="009D3A4F"/>
    <w:rsid w:val="009E1844"/>
    <w:rsid w:val="00A14B63"/>
    <w:rsid w:val="00A17218"/>
    <w:rsid w:val="00A270A3"/>
    <w:rsid w:val="00A27EFA"/>
    <w:rsid w:val="00A41CB6"/>
    <w:rsid w:val="00A43906"/>
    <w:rsid w:val="00A504AF"/>
    <w:rsid w:val="00A57687"/>
    <w:rsid w:val="00A71C5B"/>
    <w:rsid w:val="00A84E9B"/>
    <w:rsid w:val="00A942C5"/>
    <w:rsid w:val="00AB0E5D"/>
    <w:rsid w:val="00AB1DE8"/>
    <w:rsid w:val="00AB2668"/>
    <w:rsid w:val="00B065DD"/>
    <w:rsid w:val="00B134F1"/>
    <w:rsid w:val="00B32BB1"/>
    <w:rsid w:val="00B34AFA"/>
    <w:rsid w:val="00B654BA"/>
    <w:rsid w:val="00B8116E"/>
    <w:rsid w:val="00B83DDA"/>
    <w:rsid w:val="00BA355C"/>
    <w:rsid w:val="00BA7A76"/>
    <w:rsid w:val="00BB54CA"/>
    <w:rsid w:val="00BB607F"/>
    <w:rsid w:val="00BD6407"/>
    <w:rsid w:val="00BE1364"/>
    <w:rsid w:val="00BE729E"/>
    <w:rsid w:val="00C02316"/>
    <w:rsid w:val="00C0234A"/>
    <w:rsid w:val="00C16100"/>
    <w:rsid w:val="00C2187E"/>
    <w:rsid w:val="00C31C4F"/>
    <w:rsid w:val="00C41A3D"/>
    <w:rsid w:val="00C447D7"/>
    <w:rsid w:val="00C45F39"/>
    <w:rsid w:val="00C52823"/>
    <w:rsid w:val="00C60C5F"/>
    <w:rsid w:val="00C711BB"/>
    <w:rsid w:val="00C96DC0"/>
    <w:rsid w:val="00C97CC8"/>
    <w:rsid w:val="00CA2AF0"/>
    <w:rsid w:val="00CA38D6"/>
    <w:rsid w:val="00CB7E14"/>
    <w:rsid w:val="00CD7436"/>
    <w:rsid w:val="00CE12AE"/>
    <w:rsid w:val="00CE45BE"/>
    <w:rsid w:val="00CF4972"/>
    <w:rsid w:val="00CF4C0B"/>
    <w:rsid w:val="00CF720B"/>
    <w:rsid w:val="00D14623"/>
    <w:rsid w:val="00D22BB9"/>
    <w:rsid w:val="00D53063"/>
    <w:rsid w:val="00D53744"/>
    <w:rsid w:val="00D70780"/>
    <w:rsid w:val="00D803B8"/>
    <w:rsid w:val="00D86B96"/>
    <w:rsid w:val="00D96D65"/>
    <w:rsid w:val="00DA2F86"/>
    <w:rsid w:val="00DB1210"/>
    <w:rsid w:val="00DD4A93"/>
    <w:rsid w:val="00DE4BB8"/>
    <w:rsid w:val="00E00D05"/>
    <w:rsid w:val="00E030BF"/>
    <w:rsid w:val="00E17BF4"/>
    <w:rsid w:val="00E2249D"/>
    <w:rsid w:val="00E242AD"/>
    <w:rsid w:val="00E501B7"/>
    <w:rsid w:val="00E60C3E"/>
    <w:rsid w:val="00E616F8"/>
    <w:rsid w:val="00E9374A"/>
    <w:rsid w:val="00EA6F33"/>
    <w:rsid w:val="00EB206E"/>
    <w:rsid w:val="00EB352F"/>
    <w:rsid w:val="00ED2366"/>
    <w:rsid w:val="00EE033C"/>
    <w:rsid w:val="00F2012C"/>
    <w:rsid w:val="00F24157"/>
    <w:rsid w:val="00F264C1"/>
    <w:rsid w:val="00F54919"/>
    <w:rsid w:val="00F55254"/>
    <w:rsid w:val="00F7439C"/>
    <w:rsid w:val="00F7481C"/>
    <w:rsid w:val="00F975EE"/>
    <w:rsid w:val="00FA4925"/>
    <w:rsid w:val="00FA6729"/>
    <w:rsid w:val="00FC6C32"/>
    <w:rsid w:val="00FD7E2B"/>
    <w:rsid w:val="00FE6B3F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C6C"/>
  <w15:chartTrackingRefBased/>
  <w15:docId w15:val="{3E6D004A-EA5F-4324-9689-2EF0495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402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34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3402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F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Lienhypertextesuivivisit"/>
    <w:uiPriority w:val="99"/>
    <w:unhideWhenUsed/>
    <w:rsid w:val="008748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29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29C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D1942"/>
    <w:pPr>
      <w:widowControl w:val="0"/>
      <w:autoSpaceDE w:val="0"/>
      <w:autoSpaceDN w:val="0"/>
      <w:spacing w:before="120" w:after="0" w:line="240" w:lineRule="auto"/>
      <w:ind w:left="336" w:hanging="228"/>
    </w:pPr>
    <w:rPr>
      <w:rFonts w:eastAsia="Calibri" w:cs="Calibri"/>
      <w:szCs w:val="22"/>
      <w:lang w:eastAsia="fr-BE" w:bidi="fr-B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90FDE"/>
    <w:pPr>
      <w:widowControl w:val="0"/>
      <w:autoSpaceDE w:val="0"/>
      <w:autoSpaceDN w:val="0"/>
      <w:spacing w:after="0" w:line="240" w:lineRule="auto"/>
      <w:ind w:left="108"/>
    </w:pPr>
    <w:rPr>
      <w:rFonts w:eastAsia="Calibri" w:cs="Calibri"/>
      <w:szCs w:val="22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90FDE"/>
    <w:rPr>
      <w:rFonts w:eastAsia="Calibri" w:cs="Calibri"/>
      <w:szCs w:val="22"/>
      <w:lang w:eastAsia="fr-BE" w:bidi="fr-BE"/>
    </w:rPr>
  </w:style>
  <w:style w:type="paragraph" w:styleId="En-tte">
    <w:name w:val="header"/>
    <w:basedOn w:val="Normal"/>
    <w:link w:val="En-tteCar"/>
    <w:uiPriority w:val="99"/>
    <w:unhideWhenUsed/>
    <w:rsid w:val="0067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8E4"/>
  </w:style>
  <w:style w:type="paragraph" w:styleId="Pieddepage">
    <w:name w:val="footer"/>
    <w:basedOn w:val="Normal"/>
    <w:link w:val="PieddepageCar"/>
    <w:uiPriority w:val="99"/>
    <w:unhideWhenUsed/>
    <w:rsid w:val="0067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8E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s.fesec.b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vieve.perrad@sege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therine.libert@segec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marie.bauduin@segec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060B-C875-435F-B7B5-E91FCFFA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1193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/>
      <vt:lpstr>Général de transition et transition technique</vt:lpstr>
      <vt:lpstr>    2e degré Sciences Économiques</vt:lpstr>
      <vt:lpstr>    </vt:lpstr>
      <vt:lpstr>    2e degré Sciences Sociales</vt:lpstr>
      <vt:lpstr>    </vt:lpstr>
      <vt:lpstr>    2e degré Sciences Économiques Appliquées</vt:lpstr>
      <vt:lpstr>    3e degré Sciences Économiques</vt:lpstr>
      <vt:lpstr>    3e degré Sciences Sociales</vt:lpstr>
      <vt:lpstr>    3e degré Sciences Économiques Appliquées</vt:lpstr>
      <vt:lpstr>Technique de qualification</vt:lpstr>
      <vt:lpstr>    2e degré Gestion</vt:lpstr>
      <vt:lpstr>    2e degré Secrétariat-Tourisme</vt:lpstr>
      <vt:lpstr>    3e degré Technicien de bureau</vt:lpstr>
      <vt:lpstr>    3e degré Technicien en comptabilité</vt:lpstr>
      <vt:lpstr>    3e degré Technicien commercial</vt:lpstr>
      <vt:lpstr>    3e degré Agent en accueil et tourisme</vt:lpstr>
      <vt:lpstr>    3e degré Formation sociale et économique</vt:lpstr>
      <vt:lpstr>Professionnel</vt:lpstr>
      <vt:lpstr>    2e degré Vente</vt:lpstr>
      <vt:lpstr>    2e degré Travaux de bureau</vt:lpstr>
      <vt:lpstr>    3e degré Vendeur</vt:lpstr>
      <vt:lpstr>    3e degré Auxiliaire administratif et d’accueil</vt:lpstr>
      <vt:lpstr>    3e degré Gestionnaire de très petites entreprises</vt:lpstr>
      <vt:lpstr>    3e degré Formation sociale et économique</vt:lpstr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Libert</dc:creator>
  <cp:keywords/>
  <dc:description/>
  <cp:lastModifiedBy>Dessambre Charline</cp:lastModifiedBy>
  <cp:revision>81</cp:revision>
  <dcterms:created xsi:type="dcterms:W3CDTF">2021-02-01T11:04:00Z</dcterms:created>
  <dcterms:modified xsi:type="dcterms:W3CDTF">2021-09-02T13:03:00Z</dcterms:modified>
</cp:coreProperties>
</file>