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F056B" w14:textId="3953B859" w:rsidR="00D22BB9" w:rsidRPr="009E1844" w:rsidRDefault="00570106" w:rsidP="00B95B40">
      <w:pPr>
        <w:pStyle w:val="Citationintense"/>
        <w:spacing w:before="0" w:after="160" w:line="276" w:lineRule="auto"/>
        <w:ind w:left="0" w:right="113"/>
        <w:rPr>
          <w:i w:val="0"/>
          <w:iCs w:val="0"/>
          <w:sz w:val="36"/>
          <w:szCs w:val="40"/>
        </w:rPr>
      </w:pPr>
      <w:r w:rsidRPr="009E1844">
        <w:rPr>
          <w:i w:val="0"/>
          <w:iCs w:val="0"/>
          <w:sz w:val="36"/>
          <w:szCs w:val="40"/>
        </w:rPr>
        <w:t>Secteur des sciences économiques et sociales</w:t>
      </w:r>
    </w:p>
    <w:p w14:paraId="0B82E72C" w14:textId="77777777" w:rsidR="00B95B40" w:rsidRDefault="00B95B40" w:rsidP="00B95B40">
      <w:pPr>
        <w:pStyle w:val="Corpsdetexte"/>
        <w:spacing w:after="160" w:line="276" w:lineRule="auto"/>
        <w:ind w:left="0"/>
        <w:rPr>
          <w:bCs/>
          <w:color w:val="4472C4" w:themeColor="accent1"/>
          <w:sz w:val="36"/>
          <w:szCs w:val="36"/>
        </w:rPr>
      </w:pPr>
      <w:bookmarkStart w:id="0" w:name="_2e_degré_Sciences"/>
      <w:bookmarkEnd w:id="0"/>
    </w:p>
    <w:p w14:paraId="18CD3750" w14:textId="6EAFE336" w:rsidR="00090FDE" w:rsidRPr="00090FDE" w:rsidRDefault="007E657E" w:rsidP="00B95B40">
      <w:pPr>
        <w:pStyle w:val="Corpsdetexte"/>
        <w:spacing w:after="160" w:line="276" w:lineRule="auto"/>
        <w:ind w:left="0"/>
        <w:rPr>
          <w:bCs/>
          <w:color w:val="4472C4" w:themeColor="accent1"/>
          <w:sz w:val="20"/>
          <w:szCs w:val="20"/>
        </w:rPr>
      </w:pPr>
      <w:r>
        <w:rPr>
          <w:bCs/>
          <w:color w:val="4472C4" w:themeColor="accent1"/>
          <w:sz w:val="36"/>
          <w:szCs w:val="36"/>
        </w:rPr>
        <w:t xml:space="preserve">Réflexion autour des essentiels dans </w:t>
      </w:r>
      <w:r w:rsidR="00090FDE" w:rsidRPr="00090FDE">
        <w:rPr>
          <w:bCs/>
          <w:color w:val="4472C4" w:themeColor="accent1"/>
          <w:sz w:val="36"/>
          <w:szCs w:val="36"/>
        </w:rPr>
        <w:t>les 2</w:t>
      </w:r>
      <w:r w:rsidR="00090FDE" w:rsidRPr="00090FDE">
        <w:rPr>
          <w:bCs/>
          <w:color w:val="4472C4" w:themeColor="accent1"/>
          <w:sz w:val="36"/>
          <w:szCs w:val="36"/>
          <w:vertAlign w:val="superscript"/>
        </w:rPr>
        <w:t>e</w:t>
      </w:r>
      <w:r w:rsidR="00090FDE" w:rsidRPr="00090FDE">
        <w:rPr>
          <w:bCs/>
          <w:color w:val="4472C4" w:themeColor="accent1"/>
          <w:sz w:val="36"/>
          <w:szCs w:val="36"/>
        </w:rPr>
        <w:t xml:space="preserve"> et 3</w:t>
      </w:r>
      <w:r w:rsidR="00090FDE" w:rsidRPr="00090FDE">
        <w:rPr>
          <w:bCs/>
          <w:color w:val="4472C4" w:themeColor="accent1"/>
          <w:sz w:val="36"/>
          <w:szCs w:val="36"/>
          <w:vertAlign w:val="superscript"/>
        </w:rPr>
        <w:t>e</w:t>
      </w:r>
      <w:r w:rsidR="00090FDE" w:rsidRPr="00090FDE">
        <w:rPr>
          <w:bCs/>
          <w:color w:val="4472C4" w:themeColor="accent1"/>
          <w:sz w:val="36"/>
          <w:szCs w:val="36"/>
        </w:rPr>
        <w:t xml:space="preserve"> degrés </w:t>
      </w:r>
      <w:proofErr w:type="spellStart"/>
      <w:r w:rsidR="00BB764E">
        <w:rPr>
          <w:bCs/>
          <w:color w:val="4472C4" w:themeColor="accent1"/>
          <w:sz w:val="36"/>
          <w:szCs w:val="36"/>
        </w:rPr>
        <w:t>TTr</w:t>
      </w:r>
      <w:proofErr w:type="spellEnd"/>
      <w:r w:rsidR="00090FDE" w:rsidRPr="00090FDE">
        <w:rPr>
          <w:bCs/>
          <w:color w:val="4472C4" w:themeColor="accent1"/>
          <w:sz w:val="36"/>
          <w:szCs w:val="36"/>
        </w:rPr>
        <w:t>, option « Sciences économiques </w:t>
      </w:r>
      <w:r w:rsidR="00BB764E">
        <w:rPr>
          <w:bCs/>
          <w:color w:val="4472C4" w:themeColor="accent1"/>
          <w:sz w:val="36"/>
          <w:szCs w:val="36"/>
        </w:rPr>
        <w:t>appliquées</w:t>
      </w:r>
      <w:r w:rsidR="00090FDE" w:rsidRPr="00090FDE">
        <w:rPr>
          <w:bCs/>
          <w:color w:val="4472C4" w:themeColor="accent1"/>
          <w:sz w:val="36"/>
          <w:szCs w:val="36"/>
        </w:rPr>
        <w:t>»</w:t>
      </w:r>
    </w:p>
    <w:p w14:paraId="3395257A" w14:textId="7D310F91" w:rsidR="0051779B" w:rsidRDefault="0051779B" w:rsidP="00B95B40">
      <w:pPr>
        <w:spacing w:line="276" w:lineRule="auto"/>
        <w:contextualSpacing/>
        <w:jc w:val="both"/>
      </w:pPr>
      <w:r w:rsidRPr="00E462E8">
        <w:t>Ce document</w:t>
      </w:r>
      <w:r>
        <w:t xml:space="preserve"> a pour objectif de fournir aux enseignants des informations relatives à l’organisation de l’année scolaire 2021-2022 dans l’enseignement </w:t>
      </w:r>
      <w:r w:rsidR="00F009CD">
        <w:t>des options</w:t>
      </w:r>
      <w:r>
        <w:t xml:space="preserve"> du secteur des sciences économiques et sociales. L’ensemble de ces informations doit être adapté en fonction de la réalité de chaque classe.</w:t>
      </w:r>
    </w:p>
    <w:p w14:paraId="7BCB776F" w14:textId="77777777" w:rsidR="0051779B" w:rsidRDefault="0051779B" w:rsidP="00B95B40">
      <w:pPr>
        <w:spacing w:line="276" w:lineRule="auto"/>
        <w:contextualSpacing/>
        <w:jc w:val="both"/>
      </w:pPr>
    </w:p>
    <w:p w14:paraId="47B1CD6B" w14:textId="77777777" w:rsidR="0051779B" w:rsidRDefault="0051779B" w:rsidP="00B95B40">
      <w:pPr>
        <w:spacing w:line="276" w:lineRule="auto"/>
        <w:contextualSpacing/>
        <w:jc w:val="both"/>
      </w:pPr>
      <w:r>
        <w:t>Vu le contexte de ces deux dernières années, il nous parait important de r</w:t>
      </w:r>
      <w:r w:rsidRPr="00550E45">
        <w:t>éaliser, avant tout nouvel apprentissage, une évaluation purement diagnostique</w:t>
      </w:r>
      <w:r>
        <w:t xml:space="preserve"> des acquis des élèves (leurs points forts, leurs points plus faibles, …) et cibler ceux qui sont nécessaires pour l’apprentissage de nouveaux savoirs. </w:t>
      </w:r>
    </w:p>
    <w:p w14:paraId="0B225186" w14:textId="77777777" w:rsidR="0051779B" w:rsidRDefault="0051779B" w:rsidP="00B95B40">
      <w:pPr>
        <w:spacing w:line="276" w:lineRule="auto"/>
        <w:contextualSpacing/>
        <w:jc w:val="both"/>
      </w:pPr>
      <w:r>
        <w:t>Les observations participeront à la mise en place éventuelle d’un apprentissage différencié.</w:t>
      </w:r>
    </w:p>
    <w:p w14:paraId="3E9E3861" w14:textId="77777777" w:rsidR="0051779B" w:rsidRDefault="0051779B" w:rsidP="00B95B40">
      <w:pPr>
        <w:spacing w:line="276" w:lineRule="auto"/>
        <w:contextualSpacing/>
        <w:jc w:val="both"/>
      </w:pPr>
    </w:p>
    <w:p w14:paraId="56E5ABA4" w14:textId="77777777" w:rsidR="0051779B" w:rsidRPr="009D66E8" w:rsidRDefault="0051779B" w:rsidP="00B95B40">
      <w:pPr>
        <w:spacing w:line="276" w:lineRule="auto"/>
        <w:contextualSpacing/>
        <w:jc w:val="both"/>
      </w:pPr>
      <w:r>
        <w:t xml:space="preserve">Une évaluation diagnostique </w:t>
      </w:r>
      <w:r w:rsidRPr="009D66E8">
        <w:t>n’est pas nécessairement une évaluation « traditionnelle ». Elle peut prendre la forme d’une observation des élèves face à un exercice, un questionnaire (sur papier ou en ligne), une grille d’observation, une autoévaluation, un échange avec eux sur leurs connaissances et leur façon d’apprendre…</w:t>
      </w:r>
    </w:p>
    <w:p w14:paraId="43F69A94" w14:textId="77777777" w:rsidR="0051779B" w:rsidRPr="009D66E8" w:rsidRDefault="0051779B" w:rsidP="00B95B40">
      <w:pPr>
        <w:spacing w:line="276" w:lineRule="auto"/>
        <w:contextualSpacing/>
        <w:jc w:val="both"/>
      </w:pPr>
      <w:r w:rsidRPr="009D66E8">
        <w:t>Cela permet aux enseignants de cibler les élèves pour lesquels une remédiation est nécessaire et ceux à qui on peut proposer des activités de dépassement.</w:t>
      </w:r>
    </w:p>
    <w:p w14:paraId="6694FE19" w14:textId="77777777" w:rsidR="0051779B" w:rsidRDefault="0051779B" w:rsidP="00B95B40">
      <w:pPr>
        <w:spacing w:line="276" w:lineRule="auto"/>
        <w:contextualSpacing/>
        <w:jc w:val="both"/>
      </w:pPr>
    </w:p>
    <w:p w14:paraId="7CE4F938" w14:textId="77777777" w:rsidR="0051779B" w:rsidRPr="001772AE" w:rsidRDefault="0051779B" w:rsidP="00B95B40">
      <w:pPr>
        <w:spacing w:line="276" w:lineRule="auto"/>
        <w:contextualSpacing/>
        <w:jc w:val="both"/>
      </w:pPr>
      <w:r>
        <w:t>La différenciation à mettre en place suite à l’évaluation diagnostique peut porter sur différents axes comme le montre le schéma suivant.</w:t>
      </w:r>
    </w:p>
    <w:p w14:paraId="7739C803" w14:textId="77777777" w:rsidR="0051779B" w:rsidRDefault="0051779B" w:rsidP="00B95B40">
      <w:pPr>
        <w:pStyle w:val="Paragraphedeliste"/>
        <w:spacing w:before="0" w:after="160" w:line="276" w:lineRule="auto"/>
        <w:ind w:left="0" w:firstLine="0"/>
        <w:jc w:val="both"/>
      </w:pPr>
      <w:r w:rsidRPr="00B7012A">
        <w:rPr>
          <w:noProof/>
        </w:rPr>
        <w:drawing>
          <wp:inline distT="0" distB="0" distL="0" distR="0" wp14:anchorId="3726FB9D" wp14:editId="68204A62">
            <wp:extent cx="6104071" cy="3433763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72" cy="343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AFFDD" w14:textId="37EB2E5E" w:rsidR="0051779B" w:rsidRDefault="0051779B" w:rsidP="00B95B40">
      <w:pPr>
        <w:pStyle w:val="Paragraphedeliste"/>
        <w:spacing w:before="0" w:after="160" w:line="276" w:lineRule="auto"/>
        <w:ind w:left="0" w:firstLine="0"/>
        <w:jc w:val="both"/>
      </w:pPr>
      <w:r>
        <w:lastRenderedPageBreak/>
        <w:t>À la suite du diagnostic, l’enseignant planifie les apprentissages, les remédiations, les évaluations à valeur sommative et certificative (uniquement pour les essentiels). Des évaluations à valeur formative (pour l’ensemble des attendus du programme) sont réalisées toute l’année.</w:t>
      </w:r>
    </w:p>
    <w:p w14:paraId="66F6CD53" w14:textId="77777777" w:rsidR="0051779B" w:rsidRDefault="0051779B" w:rsidP="00B95B40">
      <w:pPr>
        <w:pStyle w:val="Paragraphedeliste"/>
        <w:spacing w:before="0" w:after="160" w:line="276" w:lineRule="auto"/>
        <w:ind w:left="0" w:firstLine="0"/>
        <w:jc w:val="both"/>
      </w:pPr>
      <w:r>
        <w:t>Le document d’intentions pédagogiques (DIP) tient compte de cette planification.</w:t>
      </w:r>
    </w:p>
    <w:p w14:paraId="252FD5BA" w14:textId="77777777" w:rsidR="0051779B" w:rsidRPr="00550E45" w:rsidRDefault="0051779B" w:rsidP="00B95B40">
      <w:pPr>
        <w:pStyle w:val="Paragraphedeliste"/>
        <w:spacing w:before="0" w:after="160" w:line="276" w:lineRule="auto"/>
        <w:ind w:left="0" w:firstLine="0"/>
        <w:jc w:val="both"/>
      </w:pPr>
      <w:r>
        <w:t>Il est conseillé à l’enseignant de r</w:t>
      </w:r>
      <w:r w:rsidRPr="00550E45">
        <w:t>epenser les espaces d’apprentissage </w:t>
      </w:r>
      <w:r>
        <w:t xml:space="preserve">et de continuer à utiliser le numérique qui reste </w:t>
      </w:r>
      <w:r w:rsidRPr="00550E45">
        <w:t>une composante non négligeable</w:t>
      </w:r>
      <w:r>
        <w:t xml:space="preserve"> du processus d’apprentissage.</w:t>
      </w:r>
    </w:p>
    <w:p w14:paraId="7366D34E" w14:textId="184D1882" w:rsidR="001A0BC8" w:rsidRDefault="001A0BC8" w:rsidP="00B95B40">
      <w:pPr>
        <w:spacing w:line="276" w:lineRule="auto"/>
        <w:jc w:val="both"/>
      </w:pPr>
      <w:r>
        <w:t>Rappelons tout d’abord</w:t>
      </w:r>
      <w:r w:rsidR="00B8116E">
        <w:t xml:space="preserve"> </w:t>
      </w:r>
      <w:r>
        <w:t>que</w:t>
      </w:r>
      <w:r w:rsidR="00B8116E">
        <w:t>,</w:t>
      </w:r>
      <w:r>
        <w:t xml:space="preserve"> dans cette option, les deux degrés sont bien distincts, le deuxième degré</w:t>
      </w:r>
      <w:r w:rsidR="00D53D80">
        <w:t xml:space="preserve"> comporte 2 cours</w:t>
      </w:r>
      <w:r w:rsidR="009505D1">
        <w:t> : « S</w:t>
      </w:r>
      <w:r w:rsidR="004C6C25">
        <w:t>ciences économiques</w:t>
      </w:r>
      <w:r w:rsidR="009505D1">
        <w:t> »</w:t>
      </w:r>
      <w:r w:rsidR="004C6C25">
        <w:t xml:space="preserve"> </w:t>
      </w:r>
      <w:r w:rsidR="009505D1">
        <w:t>et « C</w:t>
      </w:r>
      <w:r w:rsidR="004C6C25">
        <w:t>omptabilité e</w:t>
      </w:r>
      <w:r w:rsidR="009505D1">
        <w:t xml:space="preserve">t </w:t>
      </w:r>
      <w:r w:rsidR="004C6C25">
        <w:t xml:space="preserve">informatique de gestion. </w:t>
      </w:r>
      <w:r w:rsidR="009505D1">
        <w:t>Le 3</w:t>
      </w:r>
      <w:r w:rsidR="009505D1" w:rsidRPr="009505D1">
        <w:rPr>
          <w:vertAlign w:val="superscript"/>
        </w:rPr>
        <w:t>e</w:t>
      </w:r>
      <w:r w:rsidR="009505D1">
        <w:t xml:space="preserve"> degré, quant à lui, est divisé en 4 cours : </w:t>
      </w:r>
      <w:r w:rsidR="000C1181">
        <w:t>« Economie de l’entreprise et informatique », « Comptabilité et informatique de gestion », « Droit » et « Economie générale ».</w:t>
      </w:r>
    </w:p>
    <w:p w14:paraId="6506292C" w14:textId="45E2BBD0" w:rsidR="00BA355C" w:rsidRPr="006272B2" w:rsidRDefault="00BA355C" w:rsidP="00B95B40">
      <w:pPr>
        <w:spacing w:line="276" w:lineRule="auto"/>
        <w:jc w:val="both"/>
      </w:pPr>
      <w:r w:rsidRPr="006272B2">
        <w:t>Au deuxième degré</w:t>
      </w:r>
      <w:r w:rsidR="008B71C5" w:rsidRPr="006272B2">
        <w:t>,</w:t>
      </w:r>
      <w:r w:rsidR="00CF4C0B" w:rsidRPr="006272B2">
        <w:t xml:space="preserve"> </w:t>
      </w:r>
      <w:r w:rsidR="00333D3A" w:rsidRPr="006272B2">
        <w:t>le</w:t>
      </w:r>
      <w:r w:rsidR="008B71C5" w:rsidRPr="006272B2">
        <w:t xml:space="preserve"> </w:t>
      </w:r>
      <w:r w:rsidR="00333D3A" w:rsidRPr="006272B2">
        <w:t xml:space="preserve"> programme distingue bien ce qui doit être vu en 3</w:t>
      </w:r>
      <w:r w:rsidR="00333D3A" w:rsidRPr="006272B2">
        <w:rPr>
          <w:vertAlign w:val="superscript"/>
        </w:rPr>
        <w:t>e</w:t>
      </w:r>
      <w:r w:rsidR="00333D3A" w:rsidRPr="006272B2">
        <w:t xml:space="preserve"> et en 4</w:t>
      </w:r>
      <w:r w:rsidR="00333D3A" w:rsidRPr="006272B2">
        <w:rPr>
          <w:vertAlign w:val="superscript"/>
        </w:rPr>
        <w:t>e</w:t>
      </w:r>
      <w:r w:rsidR="00333D3A" w:rsidRPr="006272B2">
        <w:t xml:space="preserve"> année</w:t>
      </w:r>
      <w:r w:rsidR="00183256" w:rsidRPr="006272B2">
        <w:t xml:space="preserve">. </w:t>
      </w:r>
      <w:r w:rsidR="005F777B" w:rsidRPr="006272B2">
        <w:t>Le</w:t>
      </w:r>
      <w:r w:rsidR="0028647E" w:rsidRPr="006272B2">
        <w:t xml:space="preserve"> premier tableau a</w:t>
      </w:r>
      <w:r w:rsidR="00422084" w:rsidRPr="006272B2">
        <w:t xml:space="preserve"> pour objectif de mettre en évidence en 3</w:t>
      </w:r>
      <w:r w:rsidR="00422084" w:rsidRPr="006272B2">
        <w:rPr>
          <w:vertAlign w:val="superscript"/>
        </w:rPr>
        <w:t>e</w:t>
      </w:r>
      <w:r w:rsidR="00422084" w:rsidRPr="006272B2">
        <w:t xml:space="preserve"> année</w:t>
      </w:r>
      <w:r w:rsidR="00CB7E14" w:rsidRPr="006272B2">
        <w:t xml:space="preserve"> et en 4</w:t>
      </w:r>
      <w:r w:rsidR="00CB7E14" w:rsidRPr="006272B2">
        <w:rPr>
          <w:vertAlign w:val="superscript"/>
        </w:rPr>
        <w:t>e</w:t>
      </w:r>
      <w:r w:rsidR="00CB7E14" w:rsidRPr="006272B2">
        <w:t xml:space="preserve"> année</w:t>
      </w:r>
      <w:r w:rsidR="00422084" w:rsidRPr="006272B2">
        <w:t xml:space="preserve"> </w:t>
      </w:r>
      <w:r w:rsidR="003646FA" w:rsidRPr="006272B2">
        <w:t xml:space="preserve">les essentiels </w:t>
      </w:r>
      <w:r w:rsidR="00234D11" w:rsidRPr="006272B2">
        <w:t xml:space="preserve">à </w:t>
      </w:r>
      <w:r w:rsidR="00D53063" w:rsidRPr="006272B2">
        <w:t>maitris</w:t>
      </w:r>
      <w:r w:rsidR="0045042D" w:rsidRPr="006272B2">
        <w:t>er</w:t>
      </w:r>
      <w:r w:rsidR="00D53063" w:rsidRPr="006272B2">
        <w:t xml:space="preserve"> par des élèves de l’option mais également </w:t>
      </w:r>
      <w:r w:rsidR="00234D11" w:rsidRPr="006272B2">
        <w:t>ceux</w:t>
      </w:r>
      <w:r w:rsidR="00CB7E14" w:rsidRPr="006272B2">
        <w:t xml:space="preserve"> </w:t>
      </w:r>
      <w:r w:rsidR="0088352D" w:rsidRPr="006272B2">
        <w:t xml:space="preserve">qui </w:t>
      </w:r>
      <w:r w:rsidR="00CB7E14" w:rsidRPr="006272B2">
        <w:t xml:space="preserve">sont indispensables </w:t>
      </w:r>
      <w:r w:rsidR="003A28AB" w:rsidRPr="006272B2">
        <w:t xml:space="preserve">en tant que prérequis </w:t>
      </w:r>
      <w:r w:rsidR="00CB7E14" w:rsidRPr="006272B2">
        <w:t xml:space="preserve">à la compréhension de ceux qui seront analysés </w:t>
      </w:r>
      <w:r w:rsidR="003A28AB" w:rsidRPr="006272B2">
        <w:t>dans les années suivantes.</w:t>
      </w:r>
      <w:r w:rsidR="00FC6C32" w:rsidRPr="006272B2">
        <w:t xml:space="preserve"> Ainsi, par exemp</w:t>
      </w:r>
      <w:r w:rsidR="00261296" w:rsidRPr="006272B2">
        <w:t>l</w:t>
      </w:r>
      <w:r w:rsidR="00FC6C32" w:rsidRPr="006272B2">
        <w:t>e, comment comprendre la notion de productivité</w:t>
      </w:r>
      <w:r w:rsidR="00CF4972" w:rsidRPr="006272B2">
        <w:t xml:space="preserve"> et de co</w:t>
      </w:r>
      <w:r w:rsidR="00AB2668" w:rsidRPr="006272B2">
        <w:t xml:space="preserve">ût de production </w:t>
      </w:r>
      <w:r w:rsidR="00FC6C32" w:rsidRPr="006272B2">
        <w:t>en 4</w:t>
      </w:r>
      <w:r w:rsidR="00FC6C32" w:rsidRPr="006272B2">
        <w:rPr>
          <w:vertAlign w:val="superscript"/>
        </w:rPr>
        <w:t>e</w:t>
      </w:r>
      <w:r w:rsidR="00FC6C32" w:rsidRPr="006272B2">
        <w:t xml:space="preserve"> année</w:t>
      </w:r>
      <w:r w:rsidR="003831DD" w:rsidRPr="006272B2">
        <w:t xml:space="preserve"> si les facteurs de production n’ont pas été analysés en 3</w:t>
      </w:r>
      <w:r w:rsidR="003831DD" w:rsidRPr="006272B2">
        <w:rPr>
          <w:vertAlign w:val="superscript"/>
        </w:rPr>
        <w:t>e</w:t>
      </w:r>
      <w:r w:rsidR="003831DD" w:rsidRPr="006272B2">
        <w:t> </w:t>
      </w:r>
      <w:r w:rsidR="00F264C1" w:rsidRPr="006272B2">
        <w:t>?</w:t>
      </w:r>
      <w:r w:rsidR="00187A3A" w:rsidRPr="006272B2">
        <w:t xml:space="preserve"> Com</w:t>
      </w:r>
      <w:r w:rsidR="004D76C8" w:rsidRPr="006272B2">
        <w:t xml:space="preserve">ment analyser </w:t>
      </w:r>
      <w:r w:rsidR="005409A3" w:rsidRPr="006272B2">
        <w:t>un projet de création d’entreprise au 3</w:t>
      </w:r>
      <w:r w:rsidR="005409A3" w:rsidRPr="006272B2">
        <w:rPr>
          <w:vertAlign w:val="superscript"/>
        </w:rPr>
        <w:t>e</w:t>
      </w:r>
      <w:r w:rsidR="005409A3" w:rsidRPr="006272B2">
        <w:t xml:space="preserve"> degré sans avoir abordé</w:t>
      </w:r>
      <w:r w:rsidR="0001634A" w:rsidRPr="006272B2">
        <w:t xml:space="preserve"> l’analyse de l’entreprise en tant qu’organisation au 2</w:t>
      </w:r>
      <w:r w:rsidR="0001634A" w:rsidRPr="006272B2">
        <w:rPr>
          <w:vertAlign w:val="superscript"/>
        </w:rPr>
        <w:t>e</w:t>
      </w:r>
      <w:r w:rsidR="0001634A" w:rsidRPr="006272B2">
        <w:t xml:space="preserve"> degré </w:t>
      </w:r>
      <w:r w:rsidR="000D30BE" w:rsidRPr="006272B2">
        <w:t>?</w:t>
      </w:r>
      <w:r w:rsidR="00F264C1" w:rsidRPr="006272B2">
        <w:t xml:space="preserve"> </w:t>
      </w:r>
      <w:r w:rsidR="0001634A" w:rsidRPr="006272B2">
        <w:t>Comment faire de la comptabilité au 3</w:t>
      </w:r>
      <w:r w:rsidR="0001634A" w:rsidRPr="006272B2">
        <w:rPr>
          <w:vertAlign w:val="superscript"/>
        </w:rPr>
        <w:t>e</w:t>
      </w:r>
      <w:r w:rsidR="0001634A" w:rsidRPr="006272B2">
        <w:t xml:space="preserve"> degré</w:t>
      </w:r>
      <w:r w:rsidR="0082248E" w:rsidRPr="006272B2">
        <w:t xml:space="preserve"> sans avoir </w:t>
      </w:r>
      <w:r w:rsidR="00277446" w:rsidRPr="006272B2">
        <w:t>analysé les principaux documents commerciaux en 4</w:t>
      </w:r>
      <w:r w:rsidR="00277446" w:rsidRPr="006272B2">
        <w:rPr>
          <w:vertAlign w:val="superscript"/>
        </w:rPr>
        <w:t>e</w:t>
      </w:r>
      <w:r w:rsidR="00277446" w:rsidRPr="006272B2">
        <w:t> ?</w:t>
      </w:r>
      <w:r w:rsidR="007372EE" w:rsidRPr="006272B2">
        <w:t xml:space="preserve"> </w:t>
      </w:r>
      <w:r w:rsidR="00C52823" w:rsidRPr="006272B2">
        <w:t xml:space="preserve">L’important n’est donc plus ici d’enseigner un </w:t>
      </w:r>
      <w:r w:rsidR="00964BBD" w:rsidRPr="006272B2">
        <w:t>savoir</w:t>
      </w:r>
      <w:r w:rsidR="00C52823" w:rsidRPr="006272B2">
        <w:t xml:space="preserve"> parce qu’il était au programme de l’année précédente, mais parce que sa maîtrise est indispensable à l’appropriation d’un nouveau savoir.</w:t>
      </w:r>
    </w:p>
    <w:p w14:paraId="4B0CD58A" w14:textId="1A1DC3B5" w:rsidR="00784E40" w:rsidRPr="006272B2" w:rsidRDefault="004C21E9" w:rsidP="00B95B40">
      <w:pPr>
        <w:spacing w:line="276" w:lineRule="auto"/>
        <w:jc w:val="both"/>
      </w:pPr>
      <w:r w:rsidRPr="006272B2">
        <w:t>Au 3</w:t>
      </w:r>
      <w:r w:rsidRPr="006272B2">
        <w:rPr>
          <w:vertAlign w:val="superscript"/>
        </w:rPr>
        <w:t>e</w:t>
      </w:r>
      <w:r w:rsidRPr="006272B2">
        <w:t xml:space="preserve"> degré,</w:t>
      </w:r>
      <w:r w:rsidR="008861F2" w:rsidRPr="006272B2">
        <w:t xml:space="preserve"> </w:t>
      </w:r>
      <w:r w:rsidR="0085287D" w:rsidRPr="006272B2">
        <w:t xml:space="preserve">pour les cours d’ « Economie de l’entreprise et informatique» </w:t>
      </w:r>
      <w:r w:rsidR="00CD3E2A" w:rsidRPr="006272B2">
        <w:t>et d’ « Economie générale », </w:t>
      </w:r>
      <w:r w:rsidR="008861F2" w:rsidRPr="006272B2">
        <w:t>le programme ne fait plus la distinction entre ce qui doit être vu en 5</w:t>
      </w:r>
      <w:r w:rsidR="008861F2" w:rsidRPr="006272B2">
        <w:rPr>
          <w:vertAlign w:val="superscript"/>
        </w:rPr>
        <w:t>e</w:t>
      </w:r>
      <w:r w:rsidR="008861F2" w:rsidRPr="006272B2">
        <w:t xml:space="preserve"> et 6</w:t>
      </w:r>
      <w:r w:rsidR="008861F2" w:rsidRPr="006272B2">
        <w:rPr>
          <w:vertAlign w:val="superscript"/>
        </w:rPr>
        <w:t>e</w:t>
      </w:r>
      <w:r w:rsidR="008861F2" w:rsidRPr="006272B2">
        <w:t xml:space="preserve"> année. </w:t>
      </w:r>
      <w:r w:rsidR="00784E40" w:rsidRPr="006272B2">
        <w:t xml:space="preserve"> le professeur est libre d’articuler les différentes parties du cours </w:t>
      </w:r>
      <w:r w:rsidR="001F696A" w:rsidRPr="006272B2">
        <w:t>e</w:t>
      </w:r>
      <w:r w:rsidR="00784E40" w:rsidRPr="006272B2">
        <w:t xml:space="preserve">n fonction des situations qui lui semblent pertinentes à ce moment-là (notamment en fonction de l’actualité). </w:t>
      </w:r>
      <w:r w:rsidR="001F696A" w:rsidRPr="006272B2">
        <w:t xml:space="preserve">Pour ces deux cours, </w:t>
      </w:r>
      <w:r w:rsidR="00784E40" w:rsidRPr="006272B2">
        <w:t>Les objets ne doivent donc pas nécessairement être parcourus dans l’ordre proposé dans le programme.</w:t>
      </w:r>
      <w:r w:rsidR="000373D5" w:rsidRPr="006272B2">
        <w:t xml:space="preserve"> </w:t>
      </w:r>
      <w:r w:rsidR="00F975EE" w:rsidRPr="006272B2">
        <w:t>Le</w:t>
      </w:r>
      <w:r w:rsidR="006A5949" w:rsidRPr="006272B2">
        <w:t>s</w:t>
      </w:r>
      <w:r w:rsidR="00F975EE" w:rsidRPr="006272B2">
        <w:t xml:space="preserve"> tableau</w:t>
      </w:r>
      <w:r w:rsidR="006A5949" w:rsidRPr="006272B2">
        <w:t>x</w:t>
      </w:r>
      <w:r w:rsidR="00F975EE" w:rsidRPr="006272B2">
        <w:t xml:space="preserve"> liste</w:t>
      </w:r>
      <w:r w:rsidR="006A5949" w:rsidRPr="006272B2">
        <w:t>nt</w:t>
      </w:r>
      <w:r w:rsidR="00F975EE" w:rsidRPr="006272B2">
        <w:t xml:space="preserve"> donc ici les essentiels</w:t>
      </w:r>
      <w:r w:rsidR="006A1EE1" w:rsidRPr="006272B2">
        <w:t xml:space="preserve"> </w:t>
      </w:r>
      <w:r w:rsidR="00F975EE" w:rsidRPr="006272B2">
        <w:t xml:space="preserve"> à connaître au terme de l’option</w:t>
      </w:r>
      <w:r w:rsidR="006A1EE1" w:rsidRPr="006272B2">
        <w:t>.</w:t>
      </w:r>
    </w:p>
    <w:p w14:paraId="02472F78" w14:textId="7D663AC7" w:rsidR="002F1D23" w:rsidRPr="006272B2" w:rsidRDefault="00742483" w:rsidP="00B95B40">
      <w:pPr>
        <w:spacing w:line="276" w:lineRule="auto"/>
        <w:jc w:val="both"/>
      </w:pPr>
      <w:r w:rsidRPr="006272B2">
        <w:t>Le programme laisse une grande liberté pédagogique aux enseignants</w:t>
      </w:r>
      <w:r w:rsidR="00C0234A" w:rsidRPr="006272B2">
        <w:t xml:space="preserve">. Si toutes les notions </w:t>
      </w:r>
      <w:r w:rsidR="00847744" w:rsidRPr="006272B2">
        <w:t xml:space="preserve">essentielles </w:t>
      </w:r>
      <w:r w:rsidR="00C0234A" w:rsidRPr="006272B2">
        <w:t>listées dans le</w:t>
      </w:r>
      <w:r w:rsidR="006A5949" w:rsidRPr="006272B2">
        <w:t>s</w:t>
      </w:r>
      <w:r w:rsidR="00C0234A" w:rsidRPr="006272B2">
        <w:t xml:space="preserve"> tableau</w:t>
      </w:r>
      <w:r w:rsidR="008138E2" w:rsidRPr="006272B2">
        <w:t>x</w:t>
      </w:r>
      <w:r w:rsidR="00C0234A" w:rsidRPr="006272B2">
        <w:t xml:space="preserve"> doivent être approchées, </w:t>
      </w:r>
      <w:r w:rsidR="00847744" w:rsidRPr="006272B2">
        <w:t>l</w:t>
      </w:r>
      <w:r w:rsidR="00C0234A" w:rsidRPr="006272B2">
        <w:t>e degré d’approfondissement de chacune de celles-ci ser</w:t>
      </w:r>
      <w:r w:rsidR="00847744" w:rsidRPr="006272B2">
        <w:t>a laissé à l’a</w:t>
      </w:r>
      <w:r w:rsidR="00712410" w:rsidRPr="006272B2">
        <w:t>ppréciation de l’</w:t>
      </w:r>
      <w:r w:rsidR="00847744" w:rsidRPr="006272B2">
        <w:t xml:space="preserve">enseignant en fonction </w:t>
      </w:r>
      <w:r w:rsidR="00712410" w:rsidRPr="006272B2">
        <w:t>du temps disponible.</w:t>
      </w:r>
      <w:r w:rsidR="008138E2" w:rsidRPr="006272B2">
        <w:t xml:space="preserve"> </w:t>
      </w:r>
    </w:p>
    <w:p w14:paraId="1406E9DD" w14:textId="2F817515" w:rsidR="008138E2" w:rsidRDefault="008138E2" w:rsidP="00B95B40">
      <w:pPr>
        <w:spacing w:line="276" w:lineRule="auto"/>
        <w:jc w:val="both"/>
      </w:pPr>
      <w:r w:rsidRPr="006272B2">
        <w:t xml:space="preserve">Le </w:t>
      </w:r>
      <w:r w:rsidR="00550051" w:rsidRPr="006272B2">
        <w:t>dernier</w:t>
      </w:r>
      <w:r w:rsidRPr="006272B2">
        <w:t xml:space="preserve"> tab</w:t>
      </w:r>
      <w:r w:rsidR="00117279" w:rsidRPr="006272B2">
        <w:t xml:space="preserve">leau liste quant à lui les savoir-faire à maitriser par un élève qui quitte l’option </w:t>
      </w:r>
      <w:r w:rsidR="002F1D23" w:rsidRPr="006272B2">
        <w:t>« sciences économiques » au terme des deux degrés.</w:t>
      </w:r>
    </w:p>
    <w:p w14:paraId="605017E0" w14:textId="4FFBA10A" w:rsidR="00F70E09" w:rsidRDefault="00F70E09" w:rsidP="00B95B40">
      <w:pPr>
        <w:spacing w:line="276" w:lineRule="auto"/>
        <w:rPr>
          <w:color w:val="4472C4" w:themeColor="accent1"/>
          <w:sz w:val="32"/>
          <w:szCs w:val="32"/>
        </w:rPr>
      </w:pPr>
    </w:p>
    <w:p w14:paraId="035DCC96" w14:textId="407E42B3" w:rsidR="00E020FD" w:rsidRDefault="00E020FD" w:rsidP="00B95B40">
      <w:pPr>
        <w:spacing w:line="276" w:lineRule="auto"/>
        <w:rPr>
          <w:color w:val="4472C4" w:themeColor="accent1"/>
          <w:sz w:val="32"/>
          <w:szCs w:val="32"/>
        </w:rPr>
      </w:pPr>
    </w:p>
    <w:p w14:paraId="46D1AD4F" w14:textId="74F29932" w:rsidR="00E020FD" w:rsidRDefault="00E020FD" w:rsidP="00B95B40">
      <w:pPr>
        <w:spacing w:line="276" w:lineRule="auto"/>
        <w:rPr>
          <w:color w:val="4472C4" w:themeColor="accent1"/>
          <w:sz w:val="32"/>
          <w:szCs w:val="32"/>
        </w:rPr>
      </w:pPr>
    </w:p>
    <w:p w14:paraId="19EC09C7" w14:textId="77777777" w:rsidR="00E020FD" w:rsidRDefault="00E020FD" w:rsidP="00B95B40">
      <w:pPr>
        <w:spacing w:line="276" w:lineRule="auto"/>
        <w:rPr>
          <w:color w:val="4472C4" w:themeColor="accent1"/>
          <w:sz w:val="32"/>
          <w:szCs w:val="32"/>
        </w:rPr>
      </w:pPr>
    </w:p>
    <w:p w14:paraId="4BA4D021" w14:textId="77777777" w:rsidR="00F70E09" w:rsidRDefault="00F70E09" w:rsidP="00B95B40">
      <w:pPr>
        <w:spacing w:line="276" w:lineRule="auto"/>
        <w:rPr>
          <w:color w:val="4472C4" w:themeColor="accent1"/>
          <w:sz w:val="32"/>
          <w:szCs w:val="32"/>
        </w:rPr>
      </w:pPr>
    </w:p>
    <w:p w14:paraId="59C9F125" w14:textId="7BB0E096" w:rsidR="009E1844" w:rsidRPr="004D1B53" w:rsidRDefault="009E1844" w:rsidP="00B95B40">
      <w:pPr>
        <w:spacing w:line="276" w:lineRule="auto"/>
        <w:rPr>
          <w:color w:val="4472C4" w:themeColor="accent1"/>
          <w:sz w:val="32"/>
          <w:szCs w:val="32"/>
        </w:rPr>
      </w:pPr>
      <w:r w:rsidRPr="004D1B53">
        <w:rPr>
          <w:color w:val="4472C4" w:themeColor="accent1"/>
          <w:sz w:val="32"/>
          <w:szCs w:val="32"/>
        </w:rPr>
        <w:lastRenderedPageBreak/>
        <w:t xml:space="preserve">Savoirs essentiels au terme du </w:t>
      </w:r>
      <w:r w:rsidR="004D1B53">
        <w:rPr>
          <w:color w:val="4472C4" w:themeColor="accent1"/>
          <w:sz w:val="32"/>
          <w:szCs w:val="32"/>
        </w:rPr>
        <w:t>2</w:t>
      </w:r>
      <w:r w:rsidR="004D1B53" w:rsidRPr="004D1B53">
        <w:rPr>
          <w:color w:val="4472C4" w:themeColor="accent1"/>
          <w:sz w:val="32"/>
          <w:szCs w:val="32"/>
          <w:vertAlign w:val="superscript"/>
        </w:rPr>
        <w:t>e</w:t>
      </w:r>
      <w:r w:rsidR="004D1B53">
        <w:rPr>
          <w:color w:val="4472C4" w:themeColor="accent1"/>
          <w:sz w:val="32"/>
          <w:szCs w:val="32"/>
        </w:rPr>
        <w:t xml:space="preserve"> </w:t>
      </w:r>
      <w:r w:rsidRPr="004D1B53">
        <w:rPr>
          <w:color w:val="4472C4" w:themeColor="accent1"/>
          <w:sz w:val="32"/>
          <w:szCs w:val="32"/>
        </w:rPr>
        <w:t>degré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803D6F" w14:paraId="51310D4A" w14:textId="77777777" w:rsidTr="00F70E09">
        <w:trPr>
          <w:trHeight w:val="112"/>
        </w:trPr>
        <w:tc>
          <w:tcPr>
            <w:tcW w:w="4815" w:type="dxa"/>
          </w:tcPr>
          <w:p w14:paraId="095D85AA" w14:textId="2935CFEA" w:rsidR="00803D6F" w:rsidRDefault="00803D6F" w:rsidP="00E020FD">
            <w:pPr>
              <w:widowControl w:val="0"/>
              <w:spacing w:line="276" w:lineRule="auto"/>
            </w:pPr>
            <w:r w:rsidRPr="002E1ADF">
              <w:rPr>
                <w:color w:val="767171" w:themeColor="background2" w:themeShade="80"/>
                <w:sz w:val="32"/>
                <w:szCs w:val="36"/>
              </w:rPr>
              <w:t>3</w:t>
            </w:r>
            <w:r w:rsidRPr="002E1ADF">
              <w:rPr>
                <w:color w:val="767171" w:themeColor="background2" w:themeShade="80"/>
                <w:sz w:val="32"/>
                <w:szCs w:val="36"/>
                <w:vertAlign w:val="superscript"/>
              </w:rPr>
              <w:t>e</w:t>
            </w:r>
            <w:r w:rsidRPr="002E1ADF">
              <w:rPr>
                <w:color w:val="767171" w:themeColor="background2" w:themeShade="80"/>
                <w:sz w:val="32"/>
                <w:szCs w:val="36"/>
              </w:rPr>
              <w:t xml:space="preserve"> année</w:t>
            </w:r>
          </w:p>
        </w:tc>
        <w:tc>
          <w:tcPr>
            <w:tcW w:w="4819" w:type="dxa"/>
          </w:tcPr>
          <w:p w14:paraId="0D790FAE" w14:textId="2C268BAE" w:rsidR="00803D6F" w:rsidRDefault="00803D6F" w:rsidP="00E020FD">
            <w:pPr>
              <w:widowControl w:val="0"/>
              <w:spacing w:line="276" w:lineRule="auto"/>
            </w:pPr>
            <w:r w:rsidRPr="002E1ADF">
              <w:rPr>
                <w:color w:val="767171" w:themeColor="background2" w:themeShade="80"/>
                <w:sz w:val="32"/>
                <w:szCs w:val="36"/>
              </w:rPr>
              <w:t>4</w:t>
            </w:r>
            <w:r w:rsidRPr="002E1ADF">
              <w:rPr>
                <w:color w:val="767171" w:themeColor="background2" w:themeShade="80"/>
                <w:sz w:val="32"/>
                <w:szCs w:val="36"/>
                <w:vertAlign w:val="superscript"/>
              </w:rPr>
              <w:t>e</w:t>
            </w:r>
            <w:r w:rsidRPr="002E1ADF">
              <w:rPr>
                <w:color w:val="767171" w:themeColor="background2" w:themeShade="80"/>
                <w:sz w:val="32"/>
                <w:szCs w:val="36"/>
              </w:rPr>
              <w:t xml:space="preserve"> année</w:t>
            </w:r>
          </w:p>
        </w:tc>
      </w:tr>
      <w:tr w:rsidR="00B9084E" w14:paraId="2BF1A520" w14:textId="77777777" w:rsidTr="00F70E09">
        <w:trPr>
          <w:trHeight w:val="428"/>
        </w:trPr>
        <w:tc>
          <w:tcPr>
            <w:tcW w:w="9634" w:type="dxa"/>
            <w:gridSpan w:val="2"/>
            <w:vAlign w:val="center"/>
          </w:tcPr>
          <w:p w14:paraId="412E6551" w14:textId="7AC8777D" w:rsidR="00B9084E" w:rsidRPr="007E2816" w:rsidRDefault="00B9084E" w:rsidP="00E020FD">
            <w:pPr>
              <w:spacing w:line="276" w:lineRule="auto"/>
              <w:jc w:val="center"/>
              <w:rPr>
                <w:b/>
                <w:bCs/>
              </w:rPr>
            </w:pPr>
            <w:r w:rsidRPr="00B9084E">
              <w:rPr>
                <w:color w:val="767171" w:themeColor="background2" w:themeShade="80"/>
                <w:sz w:val="32"/>
                <w:szCs w:val="36"/>
              </w:rPr>
              <w:t>Sciences économiques</w:t>
            </w:r>
          </w:p>
        </w:tc>
      </w:tr>
      <w:tr w:rsidR="00803D6F" w14:paraId="26AC2BD2" w14:textId="77777777" w:rsidTr="00F70E09">
        <w:trPr>
          <w:trHeight w:val="729"/>
        </w:trPr>
        <w:tc>
          <w:tcPr>
            <w:tcW w:w="9634" w:type="dxa"/>
            <w:gridSpan w:val="2"/>
          </w:tcPr>
          <w:p w14:paraId="5E2AEC36" w14:textId="087D654F" w:rsidR="00803D6F" w:rsidRPr="007E2816" w:rsidRDefault="00803D6F" w:rsidP="00E020FD">
            <w:pPr>
              <w:spacing w:line="276" w:lineRule="auto"/>
              <w:rPr>
                <w:b/>
                <w:bCs/>
              </w:rPr>
            </w:pPr>
            <w:r w:rsidRPr="007E2816">
              <w:rPr>
                <w:b/>
                <w:bCs/>
              </w:rPr>
              <w:t>Le problème économique</w:t>
            </w:r>
          </w:p>
          <w:p w14:paraId="323E286A" w14:textId="4E50E8C0" w:rsidR="00803D6F" w:rsidRPr="00803D6F" w:rsidRDefault="00803D6F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 w:hanging="357"/>
            </w:pPr>
            <w:r w:rsidRPr="00803D6F">
              <w:t>Schéma économique à compléter progressivement au cours du degré</w:t>
            </w:r>
          </w:p>
        </w:tc>
      </w:tr>
      <w:tr w:rsidR="00803D6F" w14:paraId="4BA82A23" w14:textId="77777777" w:rsidTr="00F70E09">
        <w:trPr>
          <w:trHeight w:val="469"/>
        </w:trPr>
        <w:tc>
          <w:tcPr>
            <w:tcW w:w="4815" w:type="dxa"/>
            <w:vMerge w:val="restart"/>
          </w:tcPr>
          <w:p w14:paraId="34D833AA" w14:textId="11D48F26" w:rsidR="00803D6F" w:rsidRPr="007E2816" w:rsidRDefault="00803D6F" w:rsidP="00E020FD">
            <w:pPr>
              <w:keepNext/>
              <w:keepLines/>
              <w:spacing w:line="276" w:lineRule="auto"/>
              <w:rPr>
                <w:b/>
                <w:bCs/>
              </w:rPr>
            </w:pPr>
            <w:r w:rsidRPr="007E2816">
              <w:rPr>
                <w:b/>
                <w:bCs/>
              </w:rPr>
              <w:t>Le choix du consommateur</w:t>
            </w:r>
          </w:p>
          <w:p w14:paraId="6542BFB2" w14:textId="77777777" w:rsidR="00803D6F" w:rsidRDefault="00803D6F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 w:hanging="357"/>
            </w:pPr>
            <w:r>
              <w:t>Biens et services (publics et privés)</w:t>
            </w:r>
          </w:p>
          <w:p w14:paraId="4CC0FFAE" w14:textId="77777777" w:rsidR="00803D6F" w:rsidRDefault="00803D6F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 w:hanging="357"/>
            </w:pPr>
            <w:r>
              <w:t>Biens de consommation durables et non durables</w:t>
            </w:r>
          </w:p>
          <w:p w14:paraId="445A39BD" w14:textId="579BB3EF" w:rsidR="00803D6F" w:rsidRDefault="00985BAC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 w:hanging="357"/>
            </w:pPr>
            <w:r>
              <w:t>R</w:t>
            </w:r>
            <w:r w:rsidR="00803D6F">
              <w:t xml:space="preserve">evenus liés au travail </w:t>
            </w:r>
          </w:p>
          <w:p w14:paraId="5465D390" w14:textId="0EE8A5B8" w:rsidR="00803D6F" w:rsidRDefault="00985BAC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 w:hanging="357"/>
            </w:pPr>
            <w:r>
              <w:t>R</w:t>
            </w:r>
            <w:r w:rsidR="00803D6F">
              <w:t>evenus liés au capital</w:t>
            </w:r>
          </w:p>
          <w:p w14:paraId="70A52AB5" w14:textId="1EBDB108" w:rsidR="00803D6F" w:rsidRDefault="00985BAC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 w:hanging="357"/>
            </w:pPr>
            <w:r>
              <w:t>R</w:t>
            </w:r>
            <w:r w:rsidR="00803D6F">
              <w:t>evenus de transfert</w:t>
            </w:r>
            <w:r w:rsidR="000C212F">
              <w:t xml:space="preserve"> (sécurité sociale)</w:t>
            </w:r>
          </w:p>
          <w:p w14:paraId="0B645D64" w14:textId="4AB052C8" w:rsidR="00803D6F" w:rsidRDefault="00985BAC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 w:hanging="357"/>
            </w:pPr>
            <w:r>
              <w:t>R</w:t>
            </w:r>
            <w:r w:rsidR="00803D6F">
              <w:t xml:space="preserve">evenus disponible </w:t>
            </w:r>
          </w:p>
          <w:p w14:paraId="245F6DB7" w14:textId="1A7B33CD" w:rsidR="00803D6F" w:rsidRDefault="00985BAC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 w:hanging="357"/>
            </w:pPr>
            <w:r>
              <w:t>C</w:t>
            </w:r>
            <w:r w:rsidR="00803D6F">
              <w:t>rédit à la consommation</w:t>
            </w:r>
          </w:p>
          <w:p w14:paraId="7C00DBA5" w14:textId="3A5ED741" w:rsidR="00803D6F" w:rsidRPr="00E00D05" w:rsidRDefault="00985BAC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 w:hanging="357"/>
            </w:pPr>
            <w:r>
              <w:t>S</w:t>
            </w:r>
            <w:r w:rsidR="00803D6F" w:rsidRPr="00E00D05">
              <w:t>ystème bancaire</w:t>
            </w:r>
          </w:p>
          <w:p w14:paraId="648C8836" w14:textId="2B6F5FC2" w:rsidR="00803D6F" w:rsidRDefault="00985BAC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 w:hanging="357"/>
            </w:pPr>
            <w:r>
              <w:t>D</w:t>
            </w:r>
            <w:r w:rsidR="00803D6F">
              <w:t>éterminants sociologiques et économiques de la consommation</w:t>
            </w:r>
          </w:p>
        </w:tc>
        <w:tc>
          <w:tcPr>
            <w:tcW w:w="4819" w:type="dxa"/>
            <w:vMerge w:val="restart"/>
          </w:tcPr>
          <w:p w14:paraId="7E525D80" w14:textId="77777777" w:rsidR="00803D6F" w:rsidRDefault="00803D6F" w:rsidP="00E020FD">
            <w:pPr>
              <w:widowControl w:val="0"/>
              <w:spacing w:line="276" w:lineRule="auto"/>
            </w:pPr>
          </w:p>
        </w:tc>
      </w:tr>
      <w:tr w:rsidR="00803D6F" w14:paraId="72E98C24" w14:textId="77777777" w:rsidTr="00F70E09">
        <w:trPr>
          <w:trHeight w:val="2557"/>
        </w:trPr>
        <w:tc>
          <w:tcPr>
            <w:tcW w:w="4815" w:type="dxa"/>
            <w:vMerge/>
          </w:tcPr>
          <w:p w14:paraId="59F4B35B" w14:textId="43A5279E" w:rsidR="00803D6F" w:rsidRDefault="00803D6F" w:rsidP="00E020FD">
            <w:pPr>
              <w:pStyle w:val="Paragraphedeliste"/>
              <w:numPr>
                <w:ilvl w:val="0"/>
                <w:numId w:val="1"/>
              </w:numPr>
              <w:spacing w:before="0" w:line="276" w:lineRule="auto"/>
            </w:pPr>
          </w:p>
        </w:tc>
        <w:tc>
          <w:tcPr>
            <w:tcW w:w="4819" w:type="dxa"/>
            <w:vMerge/>
          </w:tcPr>
          <w:p w14:paraId="1B91A05F" w14:textId="77777777" w:rsidR="00803D6F" w:rsidRDefault="00803D6F" w:rsidP="00E020FD">
            <w:pPr>
              <w:widowControl w:val="0"/>
              <w:spacing w:line="276" w:lineRule="auto"/>
            </w:pPr>
          </w:p>
        </w:tc>
      </w:tr>
      <w:tr w:rsidR="00803D6F" w14:paraId="485EE6DB" w14:textId="77777777" w:rsidTr="00F70E09">
        <w:trPr>
          <w:trHeight w:val="2440"/>
        </w:trPr>
        <w:tc>
          <w:tcPr>
            <w:tcW w:w="4815" w:type="dxa"/>
          </w:tcPr>
          <w:p w14:paraId="7D7F8F4B" w14:textId="77777777" w:rsidR="00803D6F" w:rsidRPr="007E2816" w:rsidRDefault="00803D6F" w:rsidP="00E020FD">
            <w:pPr>
              <w:spacing w:line="276" w:lineRule="auto"/>
              <w:rPr>
                <w:b/>
                <w:bCs/>
              </w:rPr>
            </w:pPr>
            <w:r w:rsidRPr="007E2816">
              <w:rPr>
                <w:b/>
                <w:bCs/>
              </w:rPr>
              <w:t>Le choix de producteur</w:t>
            </w:r>
          </w:p>
          <w:p w14:paraId="45B1BD8E" w14:textId="12329973" w:rsidR="00380989" w:rsidRDefault="00380989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 w:hanging="357"/>
            </w:pPr>
            <w:r>
              <w:t>Carte d’identité d’une PME</w:t>
            </w:r>
          </w:p>
          <w:p w14:paraId="3004BF9B" w14:textId="60B98741" w:rsidR="00195A84" w:rsidRDefault="00195A84" w:rsidP="00E020FD">
            <w:pPr>
              <w:pStyle w:val="Paragraphedeliste"/>
              <w:spacing w:before="0" w:line="276" w:lineRule="auto"/>
              <w:ind w:left="567" w:firstLine="0"/>
            </w:pPr>
          </w:p>
          <w:p w14:paraId="4886BB8E" w14:textId="77777777" w:rsidR="00F70E09" w:rsidRDefault="00F70E09" w:rsidP="00E020FD">
            <w:pPr>
              <w:pStyle w:val="Paragraphedeliste"/>
              <w:spacing w:before="0" w:line="276" w:lineRule="auto"/>
              <w:ind w:left="567" w:firstLine="0"/>
            </w:pPr>
          </w:p>
          <w:p w14:paraId="0392F024" w14:textId="77777777" w:rsidR="00195A84" w:rsidRDefault="00195A84" w:rsidP="00E020FD">
            <w:pPr>
              <w:pStyle w:val="Paragraphedeliste"/>
              <w:spacing w:before="0" w:line="276" w:lineRule="auto"/>
              <w:ind w:left="567" w:firstLine="0"/>
            </w:pPr>
          </w:p>
          <w:p w14:paraId="30A6ADA4" w14:textId="77777777" w:rsidR="00380989" w:rsidRDefault="00380989" w:rsidP="00E020FD">
            <w:pPr>
              <w:pStyle w:val="Paragraphedeliste"/>
              <w:spacing w:before="0" w:line="276" w:lineRule="auto"/>
              <w:ind w:left="567" w:firstLine="0"/>
            </w:pPr>
          </w:p>
          <w:p w14:paraId="150E262B" w14:textId="1E851C54" w:rsidR="00803D6F" w:rsidRDefault="00985BAC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 w:hanging="357"/>
            </w:pPr>
            <w:r>
              <w:t>F</w:t>
            </w:r>
            <w:r w:rsidR="00803D6F">
              <w:t>acteur de production  «travail » </w:t>
            </w:r>
            <w:r w:rsidR="00B32BB1">
              <w:t>et progrès technique</w:t>
            </w:r>
          </w:p>
          <w:p w14:paraId="1C0ED919" w14:textId="77777777" w:rsidR="002551B8" w:rsidRDefault="002551B8" w:rsidP="00E020FD">
            <w:pPr>
              <w:pStyle w:val="Paragraphedeliste"/>
              <w:spacing w:before="0" w:line="276" w:lineRule="auto"/>
              <w:ind w:left="567" w:firstLine="0"/>
            </w:pPr>
          </w:p>
          <w:p w14:paraId="2C0EB557" w14:textId="508C628C" w:rsidR="00803D6F" w:rsidRDefault="00985BAC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 w:hanging="357"/>
            </w:pPr>
            <w:r>
              <w:t>F</w:t>
            </w:r>
            <w:r w:rsidR="00803D6F">
              <w:t xml:space="preserve">acteur de production  «capital » : </w:t>
            </w:r>
            <w:r w:rsidR="00D430D4">
              <w:t>voir cours de « Comptabilité et Informatique de gestion »</w:t>
            </w:r>
          </w:p>
        </w:tc>
        <w:tc>
          <w:tcPr>
            <w:tcW w:w="4819" w:type="dxa"/>
          </w:tcPr>
          <w:p w14:paraId="0A896F2A" w14:textId="77777777" w:rsidR="00B32BB1" w:rsidRPr="007E2816" w:rsidRDefault="00B32BB1" w:rsidP="00E020FD">
            <w:pPr>
              <w:spacing w:line="276" w:lineRule="auto"/>
              <w:rPr>
                <w:b/>
                <w:bCs/>
              </w:rPr>
            </w:pPr>
            <w:r w:rsidRPr="007E2816">
              <w:rPr>
                <w:b/>
                <w:bCs/>
              </w:rPr>
              <w:t>L’entreprise : une organisation</w:t>
            </w:r>
          </w:p>
          <w:p w14:paraId="557A448C" w14:textId="62350D4F" w:rsidR="00B32BB1" w:rsidRDefault="00985BAC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S</w:t>
            </w:r>
            <w:r w:rsidR="00B32BB1">
              <w:t>tatuts juridiques des organisations</w:t>
            </w:r>
          </w:p>
          <w:p w14:paraId="4EA481BB" w14:textId="5CBFFB1E" w:rsidR="00B32BB1" w:rsidRDefault="00985BAC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M</w:t>
            </w:r>
            <w:r w:rsidR="00B32BB1">
              <w:t>oyens de financement</w:t>
            </w:r>
          </w:p>
          <w:p w14:paraId="4C11A376" w14:textId="3F9A92EE" w:rsidR="00CE70DF" w:rsidRDefault="00CE70DF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 xml:space="preserve">Structure interne </w:t>
            </w:r>
            <w:r w:rsidR="009E105B">
              <w:t>du pouvoir</w:t>
            </w:r>
          </w:p>
          <w:p w14:paraId="280384B6" w14:textId="427CD39F" w:rsidR="00195A84" w:rsidRDefault="00195A84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Bourse et actions</w:t>
            </w:r>
          </w:p>
          <w:p w14:paraId="1811B8BB" w14:textId="77777777" w:rsidR="00B32BB1" w:rsidRPr="007E2816" w:rsidRDefault="00B32BB1" w:rsidP="00E020FD">
            <w:pPr>
              <w:spacing w:line="276" w:lineRule="auto"/>
              <w:rPr>
                <w:b/>
                <w:bCs/>
                <w:color w:val="767171" w:themeColor="background2" w:themeShade="80"/>
                <w:sz w:val="32"/>
                <w:szCs w:val="36"/>
              </w:rPr>
            </w:pPr>
            <w:r w:rsidRPr="007E2816">
              <w:rPr>
                <w:b/>
                <w:bCs/>
              </w:rPr>
              <w:t>La production</w:t>
            </w:r>
          </w:p>
          <w:p w14:paraId="7AE89095" w14:textId="4694C29B" w:rsidR="00B32BB1" w:rsidRDefault="00B32BB1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Facteurs de production et productivité</w:t>
            </w:r>
          </w:p>
          <w:p w14:paraId="53FA7C2A" w14:textId="39373279" w:rsidR="00C37BA5" w:rsidRDefault="00C37BA5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Nouvelle organisation du travail</w:t>
            </w:r>
          </w:p>
          <w:p w14:paraId="45A40A40" w14:textId="29CABF8E" w:rsidR="000901A4" w:rsidRDefault="00E268B3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Productivité : calcul et amélioration</w:t>
            </w:r>
          </w:p>
          <w:p w14:paraId="62237B22" w14:textId="58CF3BEB" w:rsidR="00087018" w:rsidRDefault="00087018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Coûts de production</w:t>
            </w:r>
            <w:r w:rsidR="00457911">
              <w:t xml:space="preserve"> et seuil de rentabilité</w:t>
            </w:r>
          </w:p>
          <w:p w14:paraId="4B4F9DA0" w14:textId="3C9E6CA9" w:rsidR="00803D6F" w:rsidRDefault="00803D6F" w:rsidP="00E020FD">
            <w:pPr>
              <w:spacing w:line="276" w:lineRule="auto"/>
              <w:ind w:left="207"/>
            </w:pPr>
          </w:p>
        </w:tc>
      </w:tr>
      <w:tr w:rsidR="00803D6F" w14:paraId="2401CA0A" w14:textId="77777777" w:rsidTr="00F70E09">
        <w:trPr>
          <w:trHeight w:val="1403"/>
        </w:trPr>
        <w:tc>
          <w:tcPr>
            <w:tcW w:w="4815" w:type="dxa"/>
          </w:tcPr>
          <w:p w14:paraId="0897D04E" w14:textId="77777777" w:rsidR="00803D6F" w:rsidRPr="007E2816" w:rsidRDefault="00803D6F" w:rsidP="00E020FD">
            <w:pPr>
              <w:spacing w:line="276" w:lineRule="auto"/>
              <w:rPr>
                <w:b/>
                <w:bCs/>
              </w:rPr>
            </w:pPr>
            <w:r w:rsidRPr="007E2816">
              <w:rPr>
                <w:b/>
                <w:bCs/>
              </w:rPr>
              <w:t>Le marché</w:t>
            </w:r>
          </w:p>
          <w:p w14:paraId="431EE460" w14:textId="6DB12A8C" w:rsidR="00803D6F" w:rsidRDefault="00985BAC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N</w:t>
            </w:r>
            <w:r w:rsidR="00803D6F">
              <w:t>otion de marché</w:t>
            </w:r>
          </w:p>
          <w:p w14:paraId="132C1EE1" w14:textId="7E03DF77" w:rsidR="00803D6F" w:rsidRDefault="00985BAC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O</w:t>
            </w:r>
            <w:r w:rsidR="00803D6F">
              <w:t>ffre et demande et sa construction graphique</w:t>
            </w:r>
          </w:p>
          <w:p w14:paraId="4AB86627" w14:textId="3DBDC1C3" w:rsidR="00803D6F" w:rsidRDefault="0070416C" w:rsidP="00E020FD">
            <w:pPr>
              <w:pStyle w:val="Paragraphedeliste"/>
              <w:spacing w:before="0" w:line="276" w:lineRule="auto"/>
              <w:ind w:left="720" w:firstLine="0"/>
            </w:pPr>
            <w:r>
              <w:t xml:space="preserve">Droit </w:t>
            </w:r>
          </w:p>
        </w:tc>
        <w:tc>
          <w:tcPr>
            <w:tcW w:w="4819" w:type="dxa"/>
          </w:tcPr>
          <w:p w14:paraId="14B01D54" w14:textId="58457980" w:rsidR="00CA38D6" w:rsidRPr="00DE4BB8" w:rsidRDefault="00803D6F" w:rsidP="00E020FD">
            <w:pPr>
              <w:spacing w:line="276" w:lineRule="auto"/>
              <w:rPr>
                <w:b/>
                <w:bCs/>
              </w:rPr>
            </w:pPr>
            <w:r w:rsidRPr="007E2816">
              <w:rPr>
                <w:b/>
                <w:bCs/>
              </w:rPr>
              <w:t>Le marché</w:t>
            </w:r>
          </w:p>
          <w:p w14:paraId="7A3566CF" w14:textId="0A9B085F" w:rsidR="00895120" w:rsidRDefault="00985BAC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S</w:t>
            </w:r>
            <w:r w:rsidR="00F264C1">
              <w:t>tructure d’un marché (</w:t>
            </w:r>
            <w:r w:rsidR="00895120">
              <w:t xml:space="preserve">offre </w:t>
            </w:r>
            <w:r w:rsidR="00F264C1">
              <w:t xml:space="preserve">et </w:t>
            </w:r>
            <w:r w:rsidR="00895120">
              <w:t>demande d</w:t>
            </w:r>
            <w:r w:rsidR="00F264C1">
              <w:t>’un</w:t>
            </w:r>
            <w:r w:rsidR="00895120">
              <w:t xml:space="preserve"> produit</w:t>
            </w:r>
            <w:r w:rsidR="00F264C1">
              <w:t>)</w:t>
            </w:r>
          </w:p>
          <w:p w14:paraId="2ACE1120" w14:textId="3B1A77AD" w:rsidR="00803D6F" w:rsidRDefault="00985BAC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M</w:t>
            </w:r>
            <w:r w:rsidR="00803D6F">
              <w:t>arketing (les 4 P)</w:t>
            </w:r>
          </w:p>
          <w:p w14:paraId="1F33C554" w14:textId="3F7CB25F" w:rsidR="00803D6F" w:rsidRDefault="00985BAC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C</w:t>
            </w:r>
            <w:r w:rsidR="00803D6F">
              <w:t>ycle de vie du produit</w:t>
            </w:r>
          </w:p>
        </w:tc>
      </w:tr>
      <w:tr w:rsidR="00803D6F" w14:paraId="338D1996" w14:textId="77777777" w:rsidTr="00F70E09">
        <w:trPr>
          <w:trHeight w:val="1412"/>
        </w:trPr>
        <w:tc>
          <w:tcPr>
            <w:tcW w:w="4815" w:type="dxa"/>
          </w:tcPr>
          <w:p w14:paraId="5910365A" w14:textId="77777777" w:rsidR="00803D6F" w:rsidRPr="007E2816" w:rsidRDefault="00803D6F" w:rsidP="00E020FD">
            <w:pPr>
              <w:spacing w:line="276" w:lineRule="auto"/>
              <w:rPr>
                <w:b/>
                <w:bCs/>
              </w:rPr>
            </w:pPr>
            <w:r w:rsidRPr="007E2816">
              <w:rPr>
                <w:b/>
                <w:bCs/>
              </w:rPr>
              <w:t>Droit</w:t>
            </w:r>
          </w:p>
          <w:p w14:paraId="5E01F847" w14:textId="77777777" w:rsidR="00803D6F" w:rsidRDefault="00803D6F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Droits – devoirs – obligations – règles juridiques - sanctions</w:t>
            </w:r>
          </w:p>
          <w:p w14:paraId="0C9EB6FB" w14:textId="678FA1B1" w:rsidR="00803D6F" w:rsidRDefault="00985BAC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N</w:t>
            </w:r>
            <w:r w:rsidR="00803D6F">
              <w:t>écessités du droit</w:t>
            </w:r>
          </w:p>
          <w:p w14:paraId="3A09F8A3" w14:textId="1DF42D80" w:rsidR="00803D6F" w:rsidRDefault="00803D6F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Personnes morales – personnes physiques</w:t>
            </w:r>
          </w:p>
        </w:tc>
        <w:tc>
          <w:tcPr>
            <w:tcW w:w="4819" w:type="dxa"/>
          </w:tcPr>
          <w:p w14:paraId="61084F1B" w14:textId="77777777" w:rsidR="00803D6F" w:rsidRPr="007E2816" w:rsidRDefault="00803D6F" w:rsidP="00E020FD">
            <w:pPr>
              <w:spacing w:line="276" w:lineRule="auto"/>
              <w:rPr>
                <w:b/>
                <w:bCs/>
              </w:rPr>
            </w:pPr>
            <w:r w:rsidRPr="007E2816">
              <w:rPr>
                <w:b/>
                <w:bCs/>
              </w:rPr>
              <w:t>Droit</w:t>
            </w:r>
          </w:p>
          <w:p w14:paraId="16CFB353" w14:textId="58C5DCB6" w:rsidR="00803D6F" w:rsidRDefault="00985BAC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O</w:t>
            </w:r>
            <w:r w:rsidR="00803D6F">
              <w:t>rganisation du monde judiciaire</w:t>
            </w:r>
          </w:p>
          <w:p w14:paraId="448243C5" w14:textId="77777777" w:rsidR="008F2334" w:rsidRDefault="008F2334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Droit commercial : statuts juridiques des sociétés commerciales</w:t>
            </w:r>
          </w:p>
          <w:p w14:paraId="546EB787" w14:textId="77777777" w:rsidR="008F2334" w:rsidRDefault="008F2334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Droit social : contrat de travail étudiant</w:t>
            </w:r>
          </w:p>
          <w:p w14:paraId="2B94485A" w14:textId="77777777" w:rsidR="00803D6F" w:rsidRDefault="00803D6F" w:rsidP="00E020FD">
            <w:pPr>
              <w:widowControl w:val="0"/>
              <w:spacing w:line="276" w:lineRule="auto"/>
            </w:pPr>
          </w:p>
        </w:tc>
      </w:tr>
    </w:tbl>
    <w:p w14:paraId="58DB24BB" w14:textId="0CD162B9" w:rsidR="004D1B53" w:rsidRDefault="004D1B53" w:rsidP="00B95B40">
      <w:pPr>
        <w:spacing w:line="276" w:lineRule="auto"/>
      </w:pPr>
    </w:p>
    <w:p w14:paraId="57C519CA" w14:textId="77777777" w:rsidR="00F70E09" w:rsidRDefault="00F70E09" w:rsidP="00B95B40">
      <w:pPr>
        <w:spacing w:line="276" w:lineRule="auto"/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B9084E" w14:paraId="5E44CDDF" w14:textId="77777777" w:rsidTr="00F70E09">
        <w:trPr>
          <w:trHeight w:val="112"/>
        </w:trPr>
        <w:tc>
          <w:tcPr>
            <w:tcW w:w="4815" w:type="dxa"/>
          </w:tcPr>
          <w:p w14:paraId="1FEC37E1" w14:textId="77777777" w:rsidR="00B9084E" w:rsidRDefault="00B9084E" w:rsidP="00E020FD">
            <w:pPr>
              <w:widowControl w:val="0"/>
              <w:spacing w:line="276" w:lineRule="auto"/>
            </w:pPr>
            <w:r w:rsidRPr="002E1ADF">
              <w:rPr>
                <w:color w:val="767171" w:themeColor="background2" w:themeShade="80"/>
                <w:sz w:val="32"/>
                <w:szCs w:val="36"/>
              </w:rPr>
              <w:t>3</w:t>
            </w:r>
            <w:r w:rsidRPr="002E1ADF">
              <w:rPr>
                <w:color w:val="767171" w:themeColor="background2" w:themeShade="80"/>
                <w:sz w:val="32"/>
                <w:szCs w:val="36"/>
                <w:vertAlign w:val="superscript"/>
              </w:rPr>
              <w:t>e</w:t>
            </w:r>
            <w:r w:rsidRPr="002E1ADF">
              <w:rPr>
                <w:color w:val="767171" w:themeColor="background2" w:themeShade="80"/>
                <w:sz w:val="32"/>
                <w:szCs w:val="36"/>
              </w:rPr>
              <w:t xml:space="preserve"> année</w:t>
            </w:r>
          </w:p>
        </w:tc>
        <w:tc>
          <w:tcPr>
            <w:tcW w:w="4819" w:type="dxa"/>
          </w:tcPr>
          <w:p w14:paraId="44286F5B" w14:textId="77777777" w:rsidR="00B9084E" w:rsidRDefault="00B9084E" w:rsidP="00E020FD">
            <w:pPr>
              <w:widowControl w:val="0"/>
              <w:spacing w:line="276" w:lineRule="auto"/>
            </w:pPr>
            <w:r w:rsidRPr="002E1ADF">
              <w:rPr>
                <w:color w:val="767171" w:themeColor="background2" w:themeShade="80"/>
                <w:sz w:val="32"/>
                <w:szCs w:val="36"/>
              </w:rPr>
              <w:t>4</w:t>
            </w:r>
            <w:r w:rsidRPr="002E1ADF">
              <w:rPr>
                <w:color w:val="767171" w:themeColor="background2" w:themeShade="80"/>
                <w:sz w:val="32"/>
                <w:szCs w:val="36"/>
                <w:vertAlign w:val="superscript"/>
              </w:rPr>
              <w:t>e</w:t>
            </w:r>
            <w:r w:rsidRPr="002E1ADF">
              <w:rPr>
                <w:color w:val="767171" w:themeColor="background2" w:themeShade="80"/>
                <w:sz w:val="32"/>
                <w:szCs w:val="36"/>
              </w:rPr>
              <w:t xml:space="preserve"> année</w:t>
            </w:r>
          </w:p>
        </w:tc>
      </w:tr>
      <w:tr w:rsidR="00B9084E" w14:paraId="20856B6A" w14:textId="77777777" w:rsidTr="00F70E09">
        <w:trPr>
          <w:trHeight w:val="453"/>
        </w:trPr>
        <w:tc>
          <w:tcPr>
            <w:tcW w:w="9634" w:type="dxa"/>
            <w:gridSpan w:val="2"/>
            <w:vAlign w:val="center"/>
          </w:tcPr>
          <w:p w14:paraId="109ADFB9" w14:textId="2A3D76B6" w:rsidR="00B9084E" w:rsidRPr="007E2816" w:rsidRDefault="0026752D" w:rsidP="00E020F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color w:val="767171" w:themeColor="background2" w:themeShade="80"/>
                <w:sz w:val="32"/>
                <w:szCs w:val="36"/>
              </w:rPr>
              <w:t>Comptabilité et informatique de gestion</w:t>
            </w:r>
          </w:p>
        </w:tc>
      </w:tr>
      <w:tr w:rsidR="00B9084E" w14:paraId="5C632345" w14:textId="77777777" w:rsidTr="00F70E09">
        <w:trPr>
          <w:trHeight w:val="469"/>
        </w:trPr>
        <w:tc>
          <w:tcPr>
            <w:tcW w:w="4815" w:type="dxa"/>
            <w:vMerge w:val="restart"/>
          </w:tcPr>
          <w:p w14:paraId="17DD0D1C" w14:textId="77777777" w:rsidR="00B9084E" w:rsidRPr="00184380" w:rsidRDefault="006607FA" w:rsidP="00E020FD">
            <w:pPr>
              <w:spacing w:line="276" w:lineRule="auto"/>
              <w:rPr>
                <w:b/>
                <w:bCs/>
              </w:rPr>
            </w:pPr>
            <w:r w:rsidRPr="00184380">
              <w:rPr>
                <w:b/>
                <w:bCs/>
              </w:rPr>
              <w:t>Logiciel de traitement de texte</w:t>
            </w:r>
          </w:p>
          <w:p w14:paraId="42F0EB12" w14:textId="7069E509" w:rsidR="00021434" w:rsidRPr="00184380" w:rsidRDefault="00021434" w:rsidP="00E020FD">
            <w:pPr>
              <w:spacing w:line="276" w:lineRule="auto"/>
              <w:rPr>
                <w:b/>
                <w:bCs/>
              </w:rPr>
            </w:pPr>
            <w:r w:rsidRPr="00184380">
              <w:rPr>
                <w:b/>
                <w:bCs/>
              </w:rPr>
              <w:t>Comptabilité</w:t>
            </w:r>
            <w:r w:rsidR="001442DF" w:rsidRPr="00184380">
              <w:rPr>
                <w:b/>
                <w:bCs/>
              </w:rPr>
              <w:t> :</w:t>
            </w:r>
          </w:p>
          <w:p w14:paraId="79D32FE1" w14:textId="77777777" w:rsidR="001442DF" w:rsidRDefault="001442DF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 xml:space="preserve">Analyse des documents commerciaux </w:t>
            </w:r>
          </w:p>
          <w:p w14:paraId="35E0D31C" w14:textId="77777777" w:rsidR="001442DF" w:rsidRDefault="001442DF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Fonctionnement et calcul de la TVA</w:t>
            </w:r>
          </w:p>
          <w:p w14:paraId="0D0FA321" w14:textId="77777777" w:rsidR="001442DF" w:rsidRDefault="001442DF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Rédaction d’une facture</w:t>
            </w:r>
          </w:p>
          <w:p w14:paraId="2BF1E72E" w14:textId="77777777" w:rsidR="001442DF" w:rsidRDefault="001442DF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La note de crédit</w:t>
            </w:r>
          </w:p>
          <w:p w14:paraId="7A3EA068" w14:textId="77777777" w:rsidR="001442DF" w:rsidRDefault="001442DF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Le paiement</w:t>
            </w:r>
          </w:p>
          <w:p w14:paraId="4F9CA7AC" w14:textId="77777777" w:rsidR="001442DF" w:rsidRDefault="001442DF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Le bilan</w:t>
            </w:r>
          </w:p>
          <w:p w14:paraId="47D94EEB" w14:textId="77777777" w:rsidR="001442DF" w:rsidRDefault="001442DF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Le principe de la comptabilité en partie double</w:t>
            </w:r>
          </w:p>
          <w:p w14:paraId="64922666" w14:textId="275A014F" w:rsidR="001442DF" w:rsidRDefault="001442DF" w:rsidP="00E020FD">
            <w:pPr>
              <w:spacing w:line="276" w:lineRule="auto"/>
            </w:pPr>
          </w:p>
        </w:tc>
        <w:tc>
          <w:tcPr>
            <w:tcW w:w="4819" w:type="dxa"/>
            <w:vMerge w:val="restart"/>
          </w:tcPr>
          <w:p w14:paraId="0BED84D4" w14:textId="77777777" w:rsidR="00B9084E" w:rsidRPr="00184380" w:rsidRDefault="00021434" w:rsidP="00E020FD">
            <w:pPr>
              <w:widowControl w:val="0"/>
              <w:spacing w:line="276" w:lineRule="auto"/>
              <w:rPr>
                <w:b/>
                <w:bCs/>
              </w:rPr>
            </w:pPr>
            <w:r w:rsidRPr="00184380">
              <w:rPr>
                <w:b/>
                <w:bCs/>
              </w:rPr>
              <w:t>Tableur</w:t>
            </w:r>
          </w:p>
          <w:p w14:paraId="3F7C89F1" w14:textId="44F39112" w:rsidR="001442DF" w:rsidRPr="00184380" w:rsidRDefault="001442DF" w:rsidP="00E020FD">
            <w:pPr>
              <w:widowControl w:val="0"/>
              <w:spacing w:line="276" w:lineRule="auto"/>
              <w:rPr>
                <w:b/>
                <w:bCs/>
              </w:rPr>
            </w:pPr>
            <w:r w:rsidRPr="00184380">
              <w:rPr>
                <w:b/>
                <w:bCs/>
              </w:rPr>
              <w:t>Com</w:t>
            </w:r>
            <w:r w:rsidR="00465F3B" w:rsidRPr="00184380">
              <w:rPr>
                <w:b/>
                <w:bCs/>
              </w:rPr>
              <w:t xml:space="preserve">ptabilité : </w:t>
            </w:r>
            <w:r w:rsidR="000F185A" w:rsidRPr="00184380">
              <w:rPr>
                <w:b/>
                <w:bCs/>
              </w:rPr>
              <w:t>Enregistrement de documents réels</w:t>
            </w:r>
            <w:r w:rsidR="00465F3B" w:rsidRPr="00184380">
              <w:rPr>
                <w:b/>
                <w:bCs/>
              </w:rPr>
              <w:t xml:space="preserve"> suivants :</w:t>
            </w:r>
          </w:p>
          <w:p w14:paraId="4F114BCF" w14:textId="11BA6DFF" w:rsidR="00465F3B" w:rsidRDefault="00465F3B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Factures</w:t>
            </w:r>
          </w:p>
          <w:p w14:paraId="381A7999" w14:textId="0962E856" w:rsidR="00465F3B" w:rsidRDefault="00465F3B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Note de crédit</w:t>
            </w:r>
          </w:p>
          <w:p w14:paraId="3277D80D" w14:textId="0866A596" w:rsidR="00465F3B" w:rsidRDefault="00465F3B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Documents de paiement, extraits de co</w:t>
            </w:r>
            <w:r w:rsidR="00184380">
              <w:t>mpte</w:t>
            </w:r>
          </w:p>
          <w:p w14:paraId="64EB1BAB" w14:textId="4BDB2C5B" w:rsidR="00184380" w:rsidRDefault="00184380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Charges et produits financier</w:t>
            </w:r>
          </w:p>
          <w:p w14:paraId="32417C45" w14:textId="1E26BABC" w:rsidR="00184380" w:rsidRDefault="00184380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Rémunération</w:t>
            </w:r>
          </w:p>
          <w:p w14:paraId="4ED676F1" w14:textId="6C8B415A" w:rsidR="00184380" w:rsidRDefault="00184380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Calcul simple du résultat et affectation</w:t>
            </w:r>
          </w:p>
          <w:p w14:paraId="55D80C77" w14:textId="6430CEDB" w:rsidR="001442DF" w:rsidRDefault="001442DF" w:rsidP="00E020FD">
            <w:pPr>
              <w:widowControl w:val="0"/>
              <w:spacing w:line="276" w:lineRule="auto"/>
            </w:pPr>
          </w:p>
        </w:tc>
      </w:tr>
      <w:tr w:rsidR="00B9084E" w14:paraId="25E1B472" w14:textId="77777777" w:rsidTr="00F70E09">
        <w:trPr>
          <w:trHeight w:val="2557"/>
        </w:trPr>
        <w:tc>
          <w:tcPr>
            <w:tcW w:w="4815" w:type="dxa"/>
            <w:vMerge/>
          </w:tcPr>
          <w:p w14:paraId="624CF970" w14:textId="77777777" w:rsidR="00B9084E" w:rsidRDefault="00B9084E" w:rsidP="00E020FD">
            <w:pPr>
              <w:pStyle w:val="Paragraphedeliste"/>
              <w:numPr>
                <w:ilvl w:val="0"/>
                <w:numId w:val="1"/>
              </w:numPr>
              <w:spacing w:before="0" w:line="276" w:lineRule="auto"/>
            </w:pPr>
          </w:p>
        </w:tc>
        <w:tc>
          <w:tcPr>
            <w:tcW w:w="4819" w:type="dxa"/>
            <w:vMerge/>
          </w:tcPr>
          <w:p w14:paraId="3E0A22B1" w14:textId="77777777" w:rsidR="00B9084E" w:rsidRDefault="00B9084E" w:rsidP="00E020FD">
            <w:pPr>
              <w:widowControl w:val="0"/>
              <w:spacing w:line="276" w:lineRule="auto"/>
            </w:pPr>
          </w:p>
        </w:tc>
      </w:tr>
    </w:tbl>
    <w:p w14:paraId="3CB94F64" w14:textId="77777777" w:rsidR="00B13230" w:rsidRDefault="00B13230" w:rsidP="00B95B40">
      <w:pPr>
        <w:spacing w:line="276" w:lineRule="auto"/>
        <w:rPr>
          <w:color w:val="4472C4" w:themeColor="accent1"/>
          <w:sz w:val="32"/>
          <w:szCs w:val="32"/>
        </w:rPr>
      </w:pPr>
    </w:p>
    <w:p w14:paraId="5C411111" w14:textId="4F34EEC8" w:rsidR="004D1B53" w:rsidRPr="004D1B53" w:rsidRDefault="004D1B53" w:rsidP="00B95B40">
      <w:pPr>
        <w:spacing w:line="276" w:lineRule="auto"/>
        <w:rPr>
          <w:color w:val="4472C4" w:themeColor="accent1"/>
          <w:sz w:val="32"/>
          <w:szCs w:val="32"/>
        </w:rPr>
      </w:pPr>
      <w:r w:rsidRPr="004D1B53">
        <w:rPr>
          <w:color w:val="4472C4" w:themeColor="accent1"/>
          <w:sz w:val="32"/>
          <w:szCs w:val="32"/>
        </w:rPr>
        <w:t xml:space="preserve">Savoirs essentiels au terme du </w:t>
      </w:r>
      <w:r w:rsidR="00090FDE">
        <w:rPr>
          <w:color w:val="4472C4" w:themeColor="accent1"/>
          <w:sz w:val="32"/>
          <w:szCs w:val="32"/>
        </w:rPr>
        <w:t>3</w:t>
      </w:r>
      <w:r w:rsidRPr="004D1B53">
        <w:rPr>
          <w:color w:val="4472C4" w:themeColor="accent1"/>
          <w:sz w:val="32"/>
          <w:szCs w:val="32"/>
          <w:vertAlign w:val="superscript"/>
        </w:rPr>
        <w:t>e</w:t>
      </w:r>
      <w:r>
        <w:rPr>
          <w:color w:val="4472C4" w:themeColor="accent1"/>
          <w:sz w:val="32"/>
          <w:szCs w:val="32"/>
        </w:rPr>
        <w:t xml:space="preserve"> </w:t>
      </w:r>
      <w:r w:rsidRPr="004D1B53">
        <w:rPr>
          <w:color w:val="4472C4" w:themeColor="accent1"/>
          <w:sz w:val="32"/>
          <w:szCs w:val="32"/>
        </w:rPr>
        <w:t>degré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E5034" w14:paraId="2751C71C" w14:textId="77777777" w:rsidTr="00F70E09">
        <w:trPr>
          <w:trHeight w:val="112"/>
        </w:trPr>
        <w:tc>
          <w:tcPr>
            <w:tcW w:w="9634" w:type="dxa"/>
          </w:tcPr>
          <w:p w14:paraId="28E2FEB2" w14:textId="714CFD27" w:rsidR="006E5034" w:rsidRDefault="006E5034" w:rsidP="00E020FD">
            <w:pPr>
              <w:widowControl w:val="0"/>
              <w:spacing w:line="276" w:lineRule="auto"/>
            </w:pPr>
            <w:r>
              <w:rPr>
                <w:color w:val="767171" w:themeColor="background2" w:themeShade="80"/>
                <w:sz w:val="32"/>
                <w:szCs w:val="36"/>
              </w:rPr>
              <w:t>5</w:t>
            </w:r>
            <w:r w:rsidRPr="006E5034">
              <w:rPr>
                <w:color w:val="767171" w:themeColor="background2" w:themeShade="80"/>
                <w:sz w:val="32"/>
                <w:szCs w:val="36"/>
                <w:vertAlign w:val="superscript"/>
              </w:rPr>
              <w:t>e</w:t>
            </w:r>
            <w:r>
              <w:rPr>
                <w:color w:val="767171" w:themeColor="background2" w:themeShade="80"/>
                <w:sz w:val="32"/>
                <w:szCs w:val="36"/>
              </w:rPr>
              <w:t xml:space="preserve"> année</w:t>
            </w:r>
          </w:p>
        </w:tc>
      </w:tr>
      <w:tr w:rsidR="006E5034" w14:paraId="2E7A9308" w14:textId="77777777" w:rsidTr="00F70E09">
        <w:trPr>
          <w:trHeight w:val="431"/>
        </w:trPr>
        <w:tc>
          <w:tcPr>
            <w:tcW w:w="9634" w:type="dxa"/>
            <w:vAlign w:val="center"/>
          </w:tcPr>
          <w:p w14:paraId="07504BDA" w14:textId="77777777" w:rsidR="006E5034" w:rsidRPr="007E2816" w:rsidRDefault="006E5034" w:rsidP="00E020F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color w:val="767171" w:themeColor="background2" w:themeShade="80"/>
                <w:sz w:val="32"/>
                <w:szCs w:val="36"/>
              </w:rPr>
              <w:t>Comptabilité et informatique de gestion</w:t>
            </w:r>
          </w:p>
        </w:tc>
      </w:tr>
      <w:tr w:rsidR="006E5034" w14:paraId="41643570" w14:textId="77777777" w:rsidTr="00F70E09">
        <w:trPr>
          <w:trHeight w:val="2995"/>
        </w:trPr>
        <w:tc>
          <w:tcPr>
            <w:tcW w:w="9634" w:type="dxa"/>
          </w:tcPr>
          <w:p w14:paraId="090B60B4" w14:textId="77777777" w:rsidR="006E5034" w:rsidRPr="0082710F" w:rsidRDefault="006E5034" w:rsidP="00E020FD">
            <w:pPr>
              <w:widowControl w:val="0"/>
              <w:spacing w:line="276" w:lineRule="auto"/>
              <w:rPr>
                <w:b/>
                <w:bCs/>
              </w:rPr>
            </w:pPr>
            <w:r w:rsidRPr="0082710F">
              <w:rPr>
                <w:b/>
                <w:bCs/>
              </w:rPr>
              <w:t>Monographie complète comptable</w:t>
            </w:r>
            <w:r w:rsidR="00B276A7" w:rsidRPr="0082710F">
              <w:rPr>
                <w:b/>
                <w:bCs/>
              </w:rPr>
              <w:t xml:space="preserve"> intégrant des notions de plus en plus complexes :</w:t>
            </w:r>
          </w:p>
          <w:p w14:paraId="110178D2" w14:textId="77777777" w:rsidR="00B276A7" w:rsidRDefault="000134A3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Factures avec escompte conditionnel</w:t>
            </w:r>
          </w:p>
          <w:p w14:paraId="73EC96C9" w14:textId="77777777" w:rsidR="000134A3" w:rsidRDefault="003A4154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Règles particulières en matière de TVA</w:t>
            </w:r>
          </w:p>
          <w:p w14:paraId="3E4A9164" w14:textId="77777777" w:rsidR="003A4154" w:rsidRDefault="003A4154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Rémunérations</w:t>
            </w:r>
          </w:p>
          <w:p w14:paraId="740E20EE" w14:textId="77777777" w:rsidR="003A4154" w:rsidRDefault="003A4154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Opérations financières</w:t>
            </w:r>
          </w:p>
          <w:p w14:paraId="20208431" w14:textId="77777777" w:rsidR="003A4154" w:rsidRDefault="003A4154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Crédits</w:t>
            </w:r>
          </w:p>
          <w:p w14:paraId="21AF337D" w14:textId="77777777" w:rsidR="003A4154" w:rsidRDefault="003A4154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Charges fiscales</w:t>
            </w:r>
          </w:p>
          <w:p w14:paraId="6834DE54" w14:textId="77777777" w:rsidR="003A4154" w:rsidRDefault="003A4154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Ecritures de fin d’exercice</w:t>
            </w:r>
          </w:p>
          <w:p w14:paraId="79348794" w14:textId="77777777" w:rsidR="0082710F" w:rsidRDefault="0082710F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Estimation de l’impôt</w:t>
            </w:r>
          </w:p>
          <w:p w14:paraId="30EAF921" w14:textId="47B946C9" w:rsidR="0082710F" w:rsidRDefault="0082710F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Affectation du résultat</w:t>
            </w:r>
          </w:p>
        </w:tc>
      </w:tr>
    </w:tbl>
    <w:p w14:paraId="52E37CDC" w14:textId="71541233" w:rsidR="00375D8E" w:rsidRDefault="00375D8E" w:rsidP="00B95B40">
      <w:pPr>
        <w:spacing w:line="276" w:lineRule="auto"/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D771D" w14:paraId="71DD1D7E" w14:textId="77777777" w:rsidTr="00F70E09">
        <w:trPr>
          <w:trHeight w:val="112"/>
        </w:trPr>
        <w:tc>
          <w:tcPr>
            <w:tcW w:w="9634" w:type="dxa"/>
          </w:tcPr>
          <w:p w14:paraId="02B84288" w14:textId="77777777" w:rsidR="001D771D" w:rsidRDefault="001D771D" w:rsidP="00E020FD">
            <w:pPr>
              <w:widowControl w:val="0"/>
              <w:spacing w:line="276" w:lineRule="auto"/>
            </w:pPr>
            <w:r>
              <w:rPr>
                <w:color w:val="767171" w:themeColor="background2" w:themeShade="80"/>
                <w:sz w:val="32"/>
                <w:szCs w:val="36"/>
              </w:rPr>
              <w:t>5</w:t>
            </w:r>
            <w:r w:rsidRPr="006E5034">
              <w:rPr>
                <w:color w:val="767171" w:themeColor="background2" w:themeShade="80"/>
                <w:sz w:val="32"/>
                <w:szCs w:val="36"/>
                <w:vertAlign w:val="superscript"/>
              </w:rPr>
              <w:t>e</w:t>
            </w:r>
            <w:r>
              <w:rPr>
                <w:color w:val="767171" w:themeColor="background2" w:themeShade="80"/>
                <w:sz w:val="32"/>
                <w:szCs w:val="36"/>
              </w:rPr>
              <w:t xml:space="preserve"> année</w:t>
            </w:r>
          </w:p>
        </w:tc>
      </w:tr>
      <w:tr w:rsidR="001D771D" w14:paraId="74A2D600" w14:textId="77777777" w:rsidTr="00F70E09">
        <w:trPr>
          <w:trHeight w:val="451"/>
        </w:trPr>
        <w:tc>
          <w:tcPr>
            <w:tcW w:w="9634" w:type="dxa"/>
            <w:vAlign w:val="center"/>
          </w:tcPr>
          <w:p w14:paraId="4AC14C8F" w14:textId="5FB5F41F" w:rsidR="001D771D" w:rsidRPr="007E2816" w:rsidRDefault="001D771D" w:rsidP="00E020FD">
            <w:pPr>
              <w:spacing w:line="276" w:lineRule="auto"/>
              <w:jc w:val="center"/>
              <w:rPr>
                <w:b/>
                <w:bCs/>
              </w:rPr>
            </w:pPr>
            <w:r w:rsidRPr="001D771D">
              <w:rPr>
                <w:color w:val="767171" w:themeColor="background2" w:themeShade="80"/>
                <w:sz w:val="32"/>
                <w:szCs w:val="36"/>
              </w:rPr>
              <w:t>Droit</w:t>
            </w:r>
          </w:p>
        </w:tc>
      </w:tr>
      <w:tr w:rsidR="001D771D" w14:paraId="2A9C441F" w14:textId="77777777" w:rsidTr="00F70E09">
        <w:trPr>
          <w:trHeight w:val="40"/>
        </w:trPr>
        <w:tc>
          <w:tcPr>
            <w:tcW w:w="9634" w:type="dxa"/>
          </w:tcPr>
          <w:p w14:paraId="50647DCE" w14:textId="77777777" w:rsidR="008704AF" w:rsidRDefault="008704AF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Droit public : élaboration des textes légaux</w:t>
            </w:r>
          </w:p>
          <w:p w14:paraId="3A3B2BCA" w14:textId="77777777" w:rsidR="008704AF" w:rsidRDefault="008704AF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Droit international : systèmes judiciaires internationaux</w:t>
            </w:r>
          </w:p>
          <w:p w14:paraId="0B0BCA10" w14:textId="5B145254" w:rsidR="008704AF" w:rsidRDefault="008704AF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Droit privé : analyse de lois sur base d’exemples concrets</w:t>
            </w:r>
          </w:p>
          <w:p w14:paraId="35A74D3D" w14:textId="32B70215" w:rsidR="008704AF" w:rsidRDefault="008704AF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Responsabilité civile et pénale</w:t>
            </w:r>
          </w:p>
          <w:p w14:paraId="5E538DF2" w14:textId="7FF75E15" w:rsidR="008704AF" w:rsidRDefault="008704AF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Contrats</w:t>
            </w:r>
          </w:p>
          <w:p w14:paraId="7B6D4926" w14:textId="74440FF2" w:rsidR="001D771D" w:rsidRDefault="001D771D" w:rsidP="00E020FD">
            <w:pPr>
              <w:spacing w:line="276" w:lineRule="auto"/>
            </w:pPr>
          </w:p>
        </w:tc>
      </w:tr>
    </w:tbl>
    <w:p w14:paraId="414B1794" w14:textId="4080EFB0" w:rsidR="001D771D" w:rsidRDefault="001D771D" w:rsidP="00B95B40">
      <w:pPr>
        <w:spacing w:line="276" w:lineRule="auto"/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61061" w14:paraId="3D2A714A" w14:textId="77777777" w:rsidTr="00F70E09">
        <w:trPr>
          <w:trHeight w:val="112"/>
        </w:trPr>
        <w:tc>
          <w:tcPr>
            <w:tcW w:w="9634" w:type="dxa"/>
          </w:tcPr>
          <w:p w14:paraId="00B865EA" w14:textId="77777777" w:rsidR="00061061" w:rsidRDefault="00061061" w:rsidP="00E020FD">
            <w:pPr>
              <w:widowControl w:val="0"/>
              <w:spacing w:line="276" w:lineRule="auto"/>
            </w:pPr>
            <w:r w:rsidRPr="00C31C4F">
              <w:rPr>
                <w:color w:val="767171" w:themeColor="background2" w:themeShade="80"/>
                <w:sz w:val="32"/>
                <w:szCs w:val="36"/>
              </w:rPr>
              <w:lastRenderedPageBreak/>
              <w:t>5</w:t>
            </w:r>
            <w:r w:rsidRPr="002E1ADF">
              <w:rPr>
                <w:color w:val="767171" w:themeColor="background2" w:themeShade="80"/>
                <w:sz w:val="32"/>
                <w:szCs w:val="36"/>
                <w:vertAlign w:val="superscript"/>
              </w:rPr>
              <w:t>e</w:t>
            </w:r>
            <w:r w:rsidRPr="002E1ADF">
              <w:rPr>
                <w:color w:val="767171" w:themeColor="background2" w:themeShade="80"/>
                <w:sz w:val="32"/>
                <w:szCs w:val="36"/>
              </w:rPr>
              <w:t xml:space="preserve"> année</w:t>
            </w:r>
            <w:r>
              <w:rPr>
                <w:color w:val="767171" w:themeColor="background2" w:themeShade="80"/>
                <w:sz w:val="32"/>
                <w:szCs w:val="36"/>
              </w:rPr>
              <w:t xml:space="preserve"> et 6</w:t>
            </w:r>
            <w:r w:rsidRPr="002E1ADF">
              <w:rPr>
                <w:color w:val="767171" w:themeColor="background2" w:themeShade="80"/>
                <w:sz w:val="32"/>
                <w:szCs w:val="36"/>
                <w:vertAlign w:val="superscript"/>
              </w:rPr>
              <w:t>e</w:t>
            </w:r>
            <w:r w:rsidRPr="002E1ADF">
              <w:rPr>
                <w:color w:val="767171" w:themeColor="background2" w:themeShade="80"/>
                <w:sz w:val="32"/>
                <w:szCs w:val="36"/>
              </w:rPr>
              <w:t xml:space="preserve"> année</w:t>
            </w:r>
            <w:r>
              <w:rPr>
                <w:color w:val="767171" w:themeColor="background2" w:themeShade="80"/>
                <w:sz w:val="32"/>
                <w:szCs w:val="36"/>
              </w:rPr>
              <w:t xml:space="preserve"> </w:t>
            </w:r>
          </w:p>
        </w:tc>
      </w:tr>
      <w:tr w:rsidR="00061061" w14:paraId="5450F122" w14:textId="77777777" w:rsidTr="00F70E09">
        <w:trPr>
          <w:trHeight w:val="112"/>
        </w:trPr>
        <w:tc>
          <w:tcPr>
            <w:tcW w:w="9634" w:type="dxa"/>
          </w:tcPr>
          <w:p w14:paraId="6726BDEC" w14:textId="6F396415" w:rsidR="00061061" w:rsidRPr="00C31C4F" w:rsidRDefault="003E5D6F" w:rsidP="00E020FD">
            <w:pPr>
              <w:widowControl w:val="0"/>
              <w:spacing w:line="276" w:lineRule="auto"/>
              <w:jc w:val="center"/>
              <w:rPr>
                <w:color w:val="767171" w:themeColor="background2" w:themeShade="80"/>
                <w:sz w:val="32"/>
                <w:szCs w:val="36"/>
              </w:rPr>
            </w:pPr>
            <w:r>
              <w:rPr>
                <w:color w:val="767171" w:themeColor="background2" w:themeShade="80"/>
                <w:sz w:val="32"/>
                <w:szCs w:val="36"/>
              </w:rPr>
              <w:t>Economie de l’entreprise et informatique</w:t>
            </w:r>
          </w:p>
        </w:tc>
      </w:tr>
      <w:tr w:rsidR="00061061" w14:paraId="27A9498B" w14:textId="77777777" w:rsidTr="00F70E09">
        <w:trPr>
          <w:trHeight w:val="727"/>
        </w:trPr>
        <w:tc>
          <w:tcPr>
            <w:tcW w:w="9634" w:type="dxa"/>
          </w:tcPr>
          <w:p w14:paraId="502F6D3A" w14:textId="77777777" w:rsidR="00B210ED" w:rsidRPr="00B210ED" w:rsidRDefault="00B210ED" w:rsidP="00E020FD">
            <w:pPr>
              <w:spacing w:line="276" w:lineRule="auto"/>
              <w:rPr>
                <w:b/>
                <w:bCs/>
              </w:rPr>
            </w:pPr>
            <w:r w:rsidRPr="00B210ED">
              <w:rPr>
                <w:b/>
                <w:bCs/>
              </w:rPr>
              <w:t>L’entreprise dans son environnement</w:t>
            </w:r>
          </w:p>
          <w:p w14:paraId="467E1A18" w14:textId="1BD6F4D4" w:rsidR="00B210ED" w:rsidRDefault="00B210ED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Secteurs d’activité</w:t>
            </w:r>
          </w:p>
          <w:p w14:paraId="6EBBE441" w14:textId="33B97FB7" w:rsidR="00B210ED" w:rsidRDefault="00B210ED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Critères de classement des entreprises</w:t>
            </w:r>
          </w:p>
          <w:p w14:paraId="39309424" w14:textId="77777777" w:rsidR="00B210ED" w:rsidRPr="00B210ED" w:rsidRDefault="00B210ED" w:rsidP="00E020FD">
            <w:pPr>
              <w:spacing w:line="276" w:lineRule="auto"/>
              <w:rPr>
                <w:b/>
                <w:bCs/>
              </w:rPr>
            </w:pPr>
            <w:r w:rsidRPr="00B210ED">
              <w:rPr>
                <w:b/>
                <w:bCs/>
              </w:rPr>
              <w:t>La création d’entreprise</w:t>
            </w:r>
          </w:p>
          <w:p w14:paraId="17AFECBE" w14:textId="0DFD64EC" w:rsidR="00B210ED" w:rsidRDefault="00B210ED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Projet de création d’entreprise</w:t>
            </w:r>
            <w:r w:rsidR="00A4544D">
              <w:t> : conditions économiques, financières et juridiques de base)</w:t>
            </w:r>
          </w:p>
          <w:p w14:paraId="5319E953" w14:textId="77777777" w:rsidR="00B210ED" w:rsidRPr="00B210ED" w:rsidRDefault="00B210ED" w:rsidP="00E020FD">
            <w:pPr>
              <w:spacing w:line="276" w:lineRule="auto"/>
              <w:rPr>
                <w:b/>
                <w:bCs/>
              </w:rPr>
            </w:pPr>
            <w:r w:rsidRPr="00B210ED">
              <w:rPr>
                <w:b/>
                <w:bCs/>
              </w:rPr>
              <w:t>La stratégie commerciale de l’entreprise : le marketing</w:t>
            </w:r>
          </w:p>
          <w:p w14:paraId="2418E6C0" w14:textId="114E9303" w:rsidR="00B210ED" w:rsidRDefault="00B210ED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Etude de marché</w:t>
            </w:r>
          </w:p>
          <w:p w14:paraId="6A59262B" w14:textId="2C8DC445" w:rsidR="00B210ED" w:rsidRDefault="00B210ED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Stratégie commerciale</w:t>
            </w:r>
          </w:p>
          <w:p w14:paraId="791A3854" w14:textId="4385980D" w:rsidR="00B210ED" w:rsidRDefault="00B210ED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E-commerce</w:t>
            </w:r>
          </w:p>
          <w:p w14:paraId="7DEFE041" w14:textId="77777777" w:rsidR="00B210ED" w:rsidRPr="00B210ED" w:rsidRDefault="00B210ED" w:rsidP="00E020FD">
            <w:pPr>
              <w:spacing w:line="276" w:lineRule="auto"/>
              <w:rPr>
                <w:b/>
                <w:bCs/>
              </w:rPr>
            </w:pPr>
            <w:r w:rsidRPr="00B210ED">
              <w:rPr>
                <w:b/>
                <w:bCs/>
              </w:rPr>
              <w:t>La gestion de stocks : logistique</w:t>
            </w:r>
          </w:p>
          <w:p w14:paraId="767B139F" w14:textId="6E922FA4" w:rsidR="00B210ED" w:rsidRDefault="00B210ED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Organisation d’une chaine logistique</w:t>
            </w:r>
          </w:p>
          <w:p w14:paraId="793AA19B" w14:textId="7AFDDA98" w:rsidR="00223C49" w:rsidRDefault="00223C49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Analyse des coûts liés au stockage et à l’approvisionnement</w:t>
            </w:r>
          </w:p>
          <w:p w14:paraId="6AACBE42" w14:textId="77777777" w:rsidR="00B210ED" w:rsidRDefault="00B210ED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Techniques d’approvisionnement et gestion des stocks</w:t>
            </w:r>
          </w:p>
          <w:p w14:paraId="000BE1CB" w14:textId="77777777" w:rsidR="00B210ED" w:rsidRPr="00B210ED" w:rsidRDefault="00B210ED" w:rsidP="00E020FD">
            <w:pPr>
              <w:spacing w:line="276" w:lineRule="auto"/>
              <w:rPr>
                <w:b/>
                <w:bCs/>
              </w:rPr>
            </w:pPr>
            <w:r w:rsidRPr="00B210ED">
              <w:rPr>
                <w:b/>
                <w:bCs/>
              </w:rPr>
              <w:t>L’organisation et la gestion des ressources humaines : le management</w:t>
            </w:r>
          </w:p>
          <w:p w14:paraId="62E1C6DE" w14:textId="5EE8FBF5" w:rsidR="00B210ED" w:rsidRDefault="00B210ED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Salaire : ses composantes et son calcul</w:t>
            </w:r>
          </w:p>
          <w:p w14:paraId="0A970D3E" w14:textId="16939729" w:rsidR="00B210ED" w:rsidRDefault="00DA7DDE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 xml:space="preserve">Différents types de </w:t>
            </w:r>
            <w:r w:rsidR="00B210ED">
              <w:t>Contrats</w:t>
            </w:r>
            <w:r>
              <w:t xml:space="preserve"> de travail</w:t>
            </w:r>
            <w:r w:rsidR="00B210ED">
              <w:t xml:space="preserve"> </w:t>
            </w:r>
          </w:p>
          <w:p w14:paraId="5FE3B56D" w14:textId="2217471F" w:rsidR="00B210ED" w:rsidRDefault="00B210ED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Règlement de travail</w:t>
            </w:r>
          </w:p>
          <w:p w14:paraId="3DB3EF63" w14:textId="77777777" w:rsidR="00B210ED" w:rsidRPr="00B210ED" w:rsidRDefault="00B210ED" w:rsidP="00E020FD">
            <w:pPr>
              <w:spacing w:line="276" w:lineRule="auto"/>
              <w:rPr>
                <w:b/>
                <w:bCs/>
              </w:rPr>
            </w:pPr>
            <w:r w:rsidRPr="00B210ED">
              <w:rPr>
                <w:b/>
                <w:bCs/>
              </w:rPr>
              <w:t>La gestion financière de l’entreprise</w:t>
            </w:r>
          </w:p>
          <w:p w14:paraId="3AF38C2C" w14:textId="77777777" w:rsidR="00B210ED" w:rsidRDefault="00B210ED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Analyse des comptes annuels</w:t>
            </w:r>
          </w:p>
          <w:p w14:paraId="2204A7E2" w14:textId="6D41B90B" w:rsidR="00061061" w:rsidRPr="00803D6F" w:rsidRDefault="00B210ED" w:rsidP="00E020FD">
            <w:pPr>
              <w:pStyle w:val="Paragraphedeliste"/>
              <w:numPr>
                <w:ilvl w:val="0"/>
                <w:numId w:val="2"/>
              </w:numPr>
              <w:spacing w:before="0" w:line="276" w:lineRule="auto"/>
              <w:ind w:left="567"/>
            </w:pPr>
            <w:r>
              <w:t>Calculs et commentaires de quelques ratios</w:t>
            </w:r>
          </w:p>
        </w:tc>
      </w:tr>
    </w:tbl>
    <w:p w14:paraId="1230CC5C" w14:textId="77777777" w:rsidR="005D1377" w:rsidRPr="00230149" w:rsidRDefault="005D1377" w:rsidP="00B95B40">
      <w:pPr>
        <w:spacing w:line="276" w:lineRule="auto"/>
        <w:rPr>
          <w:sz w:val="14"/>
          <w:szCs w:val="16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31C4F" w14:paraId="4D062680" w14:textId="77777777" w:rsidTr="00F70E09">
        <w:trPr>
          <w:trHeight w:val="112"/>
        </w:trPr>
        <w:tc>
          <w:tcPr>
            <w:tcW w:w="9634" w:type="dxa"/>
          </w:tcPr>
          <w:p w14:paraId="2EFA2264" w14:textId="06E167F4" w:rsidR="00C31C4F" w:rsidRDefault="00C31C4F" w:rsidP="00E020FD">
            <w:pPr>
              <w:widowControl w:val="0"/>
              <w:spacing w:line="276" w:lineRule="auto"/>
            </w:pPr>
            <w:r w:rsidRPr="00C31C4F">
              <w:rPr>
                <w:color w:val="767171" w:themeColor="background2" w:themeShade="80"/>
                <w:sz w:val="32"/>
                <w:szCs w:val="36"/>
              </w:rPr>
              <w:t>5</w:t>
            </w:r>
            <w:r w:rsidRPr="002E1ADF">
              <w:rPr>
                <w:color w:val="767171" w:themeColor="background2" w:themeShade="80"/>
                <w:sz w:val="32"/>
                <w:szCs w:val="36"/>
                <w:vertAlign w:val="superscript"/>
              </w:rPr>
              <w:t>e</w:t>
            </w:r>
            <w:r w:rsidRPr="002E1ADF">
              <w:rPr>
                <w:color w:val="767171" w:themeColor="background2" w:themeShade="80"/>
                <w:sz w:val="32"/>
                <w:szCs w:val="36"/>
              </w:rPr>
              <w:t xml:space="preserve"> année</w:t>
            </w:r>
            <w:r w:rsidR="001C6D00">
              <w:rPr>
                <w:color w:val="767171" w:themeColor="background2" w:themeShade="80"/>
                <w:sz w:val="32"/>
                <w:szCs w:val="36"/>
              </w:rPr>
              <w:t xml:space="preserve"> et 6</w:t>
            </w:r>
            <w:r w:rsidRPr="002E1ADF">
              <w:rPr>
                <w:color w:val="767171" w:themeColor="background2" w:themeShade="80"/>
                <w:sz w:val="32"/>
                <w:szCs w:val="36"/>
                <w:vertAlign w:val="superscript"/>
              </w:rPr>
              <w:t>e</w:t>
            </w:r>
            <w:r w:rsidRPr="002E1ADF">
              <w:rPr>
                <w:color w:val="767171" w:themeColor="background2" w:themeShade="80"/>
                <w:sz w:val="32"/>
                <w:szCs w:val="36"/>
              </w:rPr>
              <w:t xml:space="preserve"> année</w:t>
            </w:r>
            <w:r w:rsidR="005F4CDD">
              <w:rPr>
                <w:color w:val="767171" w:themeColor="background2" w:themeShade="80"/>
                <w:sz w:val="32"/>
                <w:szCs w:val="36"/>
              </w:rPr>
              <w:t xml:space="preserve"> </w:t>
            </w:r>
          </w:p>
        </w:tc>
      </w:tr>
      <w:tr w:rsidR="005D1377" w14:paraId="3C47678E" w14:textId="77777777" w:rsidTr="00F70E09">
        <w:trPr>
          <w:trHeight w:val="112"/>
        </w:trPr>
        <w:tc>
          <w:tcPr>
            <w:tcW w:w="9634" w:type="dxa"/>
          </w:tcPr>
          <w:p w14:paraId="679AE4C6" w14:textId="27F82133" w:rsidR="005D1377" w:rsidRPr="00C31C4F" w:rsidRDefault="005D1377" w:rsidP="00E020FD">
            <w:pPr>
              <w:widowControl w:val="0"/>
              <w:spacing w:line="276" w:lineRule="auto"/>
              <w:jc w:val="center"/>
              <w:rPr>
                <w:color w:val="767171" w:themeColor="background2" w:themeShade="80"/>
                <w:sz w:val="32"/>
                <w:szCs w:val="36"/>
              </w:rPr>
            </w:pPr>
            <w:r>
              <w:rPr>
                <w:color w:val="767171" w:themeColor="background2" w:themeShade="80"/>
                <w:sz w:val="32"/>
                <w:szCs w:val="36"/>
              </w:rPr>
              <w:t>Economie générale</w:t>
            </w:r>
          </w:p>
        </w:tc>
      </w:tr>
      <w:tr w:rsidR="00C31C4F" w14:paraId="3AEA5A49" w14:textId="77777777" w:rsidTr="00F70E09">
        <w:trPr>
          <w:trHeight w:val="727"/>
        </w:trPr>
        <w:tc>
          <w:tcPr>
            <w:tcW w:w="9634" w:type="dxa"/>
          </w:tcPr>
          <w:p w14:paraId="707F8948" w14:textId="77777777" w:rsidR="00C16100" w:rsidRPr="005C1815" w:rsidRDefault="00C16100" w:rsidP="00E020FD">
            <w:pPr>
              <w:spacing w:line="276" w:lineRule="auto"/>
              <w:rPr>
                <w:b/>
                <w:bCs/>
              </w:rPr>
            </w:pPr>
            <w:r w:rsidRPr="005C1815">
              <w:rPr>
                <w:b/>
                <w:bCs/>
              </w:rPr>
              <w:t>Le choix économique ou l’économie politique</w:t>
            </w:r>
          </w:p>
          <w:p w14:paraId="67C29474" w14:textId="23A6E0A5" w:rsidR="00C16100" w:rsidRDefault="00CA2AF0" w:rsidP="00E020FD">
            <w:pPr>
              <w:pStyle w:val="Paragraphedeliste"/>
              <w:numPr>
                <w:ilvl w:val="0"/>
                <w:numId w:val="7"/>
              </w:numPr>
              <w:spacing w:before="0" w:line="276" w:lineRule="auto"/>
              <w:ind w:left="567"/>
            </w:pPr>
            <w:r>
              <w:t>Notions de rareté des ressources</w:t>
            </w:r>
            <w:r w:rsidR="005151A8">
              <w:t xml:space="preserve"> et choix qui en découlent</w:t>
            </w:r>
          </w:p>
          <w:p w14:paraId="16D9C1BE" w14:textId="6F622FEF" w:rsidR="00C31C4F" w:rsidRPr="00803D6F" w:rsidRDefault="005F4CDD" w:rsidP="00E020FD">
            <w:pPr>
              <w:pStyle w:val="Paragraphedeliste"/>
              <w:numPr>
                <w:ilvl w:val="0"/>
                <w:numId w:val="7"/>
              </w:numPr>
              <w:spacing w:before="0" w:line="276" w:lineRule="auto"/>
              <w:ind w:left="567"/>
            </w:pPr>
            <w:r>
              <w:t>M</w:t>
            </w:r>
            <w:r w:rsidR="00C16100">
              <w:t>onnaie</w:t>
            </w:r>
            <w:r>
              <w:t> :</w:t>
            </w:r>
            <w:r w:rsidR="00205581">
              <w:t xml:space="preserve"> </w:t>
            </w:r>
            <w:r w:rsidR="00C16100">
              <w:t>formes et fonctions</w:t>
            </w:r>
            <w:r w:rsidR="00680161">
              <w:t xml:space="preserve">, création </w:t>
            </w:r>
            <w:r w:rsidR="00660B1E">
              <w:t>monétaire</w:t>
            </w:r>
          </w:p>
        </w:tc>
      </w:tr>
      <w:tr w:rsidR="005C1815" w14:paraId="5CD64654" w14:textId="77777777" w:rsidTr="00F70E09">
        <w:trPr>
          <w:trHeight w:val="1650"/>
        </w:trPr>
        <w:tc>
          <w:tcPr>
            <w:tcW w:w="9634" w:type="dxa"/>
          </w:tcPr>
          <w:p w14:paraId="5B4C45F7" w14:textId="3EA25D3F" w:rsidR="005C1815" w:rsidRPr="005C1815" w:rsidRDefault="00EA414C" w:rsidP="00E020F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Croissance économique et développement ou les choix politiques des Etats</w:t>
            </w:r>
          </w:p>
          <w:p w14:paraId="18250952" w14:textId="7094DC85" w:rsidR="005C1815" w:rsidRDefault="00F24157" w:rsidP="00E020FD">
            <w:pPr>
              <w:pStyle w:val="Paragraphedeliste"/>
              <w:numPr>
                <w:ilvl w:val="0"/>
                <w:numId w:val="7"/>
              </w:numPr>
              <w:spacing w:before="0" w:line="276" w:lineRule="auto"/>
              <w:ind w:left="567"/>
            </w:pPr>
            <w:r>
              <w:t>B</w:t>
            </w:r>
            <w:r w:rsidR="005C1815">
              <w:t>ases de la comptabilité nationale</w:t>
            </w:r>
          </w:p>
          <w:p w14:paraId="5FE35A8A" w14:textId="5152C580" w:rsidR="005C1815" w:rsidRDefault="00F24157" w:rsidP="00E020FD">
            <w:pPr>
              <w:pStyle w:val="Paragraphedeliste"/>
              <w:numPr>
                <w:ilvl w:val="0"/>
                <w:numId w:val="7"/>
              </w:numPr>
              <w:spacing w:before="0" w:line="276" w:lineRule="auto"/>
              <w:ind w:left="567"/>
            </w:pPr>
            <w:r>
              <w:t>F</w:t>
            </w:r>
            <w:r w:rsidR="005C1815">
              <w:t>acteurs de croissance : consommation, investissement, dépenses gouvernementales</w:t>
            </w:r>
          </w:p>
          <w:p w14:paraId="3D09CCD7" w14:textId="369D358B" w:rsidR="005C1815" w:rsidRDefault="00A17218" w:rsidP="00E020FD">
            <w:pPr>
              <w:pStyle w:val="Paragraphedeliste"/>
              <w:numPr>
                <w:ilvl w:val="0"/>
                <w:numId w:val="7"/>
              </w:numPr>
              <w:spacing w:before="0" w:line="276" w:lineRule="auto"/>
              <w:ind w:left="567"/>
            </w:pPr>
            <w:r>
              <w:t>Croi</w:t>
            </w:r>
            <w:r w:rsidR="005C1815">
              <w:t xml:space="preserve">ssance et </w:t>
            </w:r>
            <w:r>
              <w:t>D</w:t>
            </w:r>
            <w:r w:rsidR="005C1815">
              <w:t>éveloppement : les indicateurs de développement</w:t>
            </w:r>
          </w:p>
          <w:p w14:paraId="244E78E4" w14:textId="6E371F45" w:rsidR="00F35B70" w:rsidRDefault="00A17218" w:rsidP="00E020FD">
            <w:pPr>
              <w:pStyle w:val="Paragraphedeliste"/>
              <w:numPr>
                <w:ilvl w:val="0"/>
                <w:numId w:val="7"/>
              </w:numPr>
              <w:spacing w:before="0" w:line="276" w:lineRule="auto"/>
              <w:ind w:left="567"/>
            </w:pPr>
            <w:r>
              <w:t>D</w:t>
            </w:r>
            <w:r w:rsidR="005C1815">
              <w:t>éveloppement durable</w:t>
            </w:r>
          </w:p>
          <w:p w14:paraId="50E0D849" w14:textId="5899ACC7" w:rsidR="005C1815" w:rsidRDefault="005C1815" w:rsidP="00E020FD">
            <w:pPr>
              <w:pStyle w:val="Paragraphedeliste"/>
              <w:numPr>
                <w:ilvl w:val="0"/>
                <w:numId w:val="7"/>
              </w:numPr>
              <w:spacing w:before="0" w:line="276" w:lineRule="auto"/>
              <w:ind w:left="567"/>
            </w:pPr>
            <w:r>
              <w:t>Formes concrètes d’organisation économique (approche classique, néoclassique, keynésienne)</w:t>
            </w:r>
          </w:p>
        </w:tc>
      </w:tr>
      <w:tr w:rsidR="00AE33EA" w14:paraId="41D7E8C3" w14:textId="77777777" w:rsidTr="00F70E09">
        <w:trPr>
          <w:trHeight w:val="1244"/>
        </w:trPr>
        <w:tc>
          <w:tcPr>
            <w:tcW w:w="9634" w:type="dxa"/>
          </w:tcPr>
          <w:p w14:paraId="432A7C4A" w14:textId="77777777" w:rsidR="00AE33EA" w:rsidRPr="00AE33EA" w:rsidRDefault="00AE33EA" w:rsidP="00E020FD">
            <w:pPr>
              <w:spacing w:line="276" w:lineRule="auto"/>
              <w:rPr>
                <w:b/>
                <w:bCs/>
              </w:rPr>
            </w:pPr>
            <w:r w:rsidRPr="00AE33EA">
              <w:rPr>
                <w:b/>
                <w:bCs/>
              </w:rPr>
              <w:t>Rôle de l’Etat</w:t>
            </w:r>
          </w:p>
          <w:p w14:paraId="4FEEEA24" w14:textId="77777777" w:rsidR="00AE33EA" w:rsidRDefault="00AE33EA" w:rsidP="00E020FD">
            <w:pPr>
              <w:pStyle w:val="Paragraphedeliste"/>
              <w:numPr>
                <w:ilvl w:val="0"/>
                <w:numId w:val="7"/>
              </w:numPr>
              <w:spacing w:before="0" w:line="276" w:lineRule="auto"/>
              <w:ind w:left="567"/>
            </w:pPr>
            <w:r>
              <w:t xml:space="preserve">Système fédéral belge : le rôle régulateur de l’Etat </w:t>
            </w:r>
          </w:p>
          <w:p w14:paraId="1B9936F4" w14:textId="77777777" w:rsidR="00AE33EA" w:rsidRDefault="00AE33EA" w:rsidP="00E020FD">
            <w:pPr>
              <w:pStyle w:val="Paragraphedeliste"/>
              <w:numPr>
                <w:ilvl w:val="0"/>
                <w:numId w:val="7"/>
              </w:numPr>
              <w:spacing w:before="0" w:line="276" w:lineRule="auto"/>
              <w:ind w:left="567"/>
            </w:pPr>
            <w:r>
              <w:t>Finances publiques</w:t>
            </w:r>
          </w:p>
          <w:p w14:paraId="581F3F9A" w14:textId="5FDDFA3E" w:rsidR="00AE33EA" w:rsidRDefault="00AE33EA" w:rsidP="00E020FD">
            <w:pPr>
              <w:pStyle w:val="Paragraphedeliste"/>
              <w:numPr>
                <w:ilvl w:val="0"/>
                <w:numId w:val="7"/>
              </w:numPr>
              <w:spacing w:before="0" w:line="276" w:lineRule="auto"/>
              <w:ind w:left="567"/>
              <w:rPr>
                <w:b/>
                <w:bCs/>
              </w:rPr>
            </w:pPr>
            <w:r>
              <w:t>Organisation actuelle de la sécurité sociale</w:t>
            </w:r>
          </w:p>
        </w:tc>
      </w:tr>
      <w:tr w:rsidR="00501502" w14:paraId="62BBF0C4" w14:textId="77777777" w:rsidTr="00230149">
        <w:trPr>
          <w:trHeight w:val="416"/>
        </w:trPr>
        <w:tc>
          <w:tcPr>
            <w:tcW w:w="9634" w:type="dxa"/>
          </w:tcPr>
          <w:p w14:paraId="57B097B1" w14:textId="6A0510B7" w:rsidR="00501502" w:rsidRPr="00A17218" w:rsidRDefault="00250FF4" w:rsidP="00E020F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Les marchés</w:t>
            </w:r>
          </w:p>
          <w:p w14:paraId="2CB84ABA" w14:textId="15CDF1B4" w:rsidR="00501502" w:rsidRDefault="00501502" w:rsidP="00E020FD">
            <w:pPr>
              <w:pStyle w:val="Paragraphedeliste"/>
              <w:numPr>
                <w:ilvl w:val="0"/>
                <w:numId w:val="7"/>
              </w:numPr>
              <w:spacing w:before="0" w:line="276" w:lineRule="auto"/>
              <w:ind w:left="567"/>
            </w:pPr>
            <w:r>
              <w:t>Internationalisation des entreprises et des facteurs de production : types de concentration</w:t>
            </w:r>
            <w:r w:rsidR="006A26F1">
              <w:t>s</w:t>
            </w:r>
          </w:p>
          <w:p w14:paraId="50D3A709" w14:textId="5E5578B2" w:rsidR="00501502" w:rsidRPr="001C7613" w:rsidRDefault="00501502" w:rsidP="00E020FD">
            <w:pPr>
              <w:pStyle w:val="Paragraphedeliste"/>
              <w:numPr>
                <w:ilvl w:val="0"/>
                <w:numId w:val="7"/>
              </w:numPr>
              <w:spacing w:before="0" w:line="276" w:lineRule="auto"/>
              <w:ind w:left="567"/>
            </w:pPr>
            <w:r>
              <w:t>Formation des prix en fonction des structures de marchés : concurrence parfaite, monopole, oligopole</w:t>
            </w:r>
          </w:p>
        </w:tc>
      </w:tr>
      <w:tr w:rsidR="008500B2" w14:paraId="260C4B32" w14:textId="77777777" w:rsidTr="00F70E09">
        <w:trPr>
          <w:trHeight w:val="1020"/>
        </w:trPr>
        <w:tc>
          <w:tcPr>
            <w:tcW w:w="9634" w:type="dxa"/>
          </w:tcPr>
          <w:p w14:paraId="33659DDE" w14:textId="77777777" w:rsidR="008500B2" w:rsidRDefault="008500B2" w:rsidP="00E020F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Economie financière</w:t>
            </w:r>
          </w:p>
          <w:p w14:paraId="57F27FAA" w14:textId="77777777" w:rsidR="0073362E" w:rsidRPr="00BC1317" w:rsidRDefault="0073362E" w:rsidP="00E020FD">
            <w:pPr>
              <w:pStyle w:val="Paragraphedeliste"/>
              <w:numPr>
                <w:ilvl w:val="0"/>
                <w:numId w:val="7"/>
              </w:numPr>
              <w:spacing w:before="0" w:line="276" w:lineRule="auto"/>
              <w:ind w:left="567"/>
            </w:pPr>
            <w:r w:rsidRPr="00BC1317">
              <w:t>Monnaie et politique monétaire</w:t>
            </w:r>
            <w:r w:rsidR="00DB4E1D" w:rsidRPr="00BC1317">
              <w:t xml:space="preserve"> (création de monnaie scripturale, inflation, rôle de la BCE</w:t>
            </w:r>
            <w:r w:rsidR="00BC1317" w:rsidRPr="00BC1317">
              <w:t>)</w:t>
            </w:r>
          </w:p>
          <w:p w14:paraId="672C0C32" w14:textId="35BBAE25" w:rsidR="00BC1317" w:rsidRPr="00BC1317" w:rsidRDefault="00BC1317" w:rsidP="00E020FD">
            <w:pPr>
              <w:pStyle w:val="Paragraphedeliste"/>
              <w:numPr>
                <w:ilvl w:val="0"/>
                <w:numId w:val="7"/>
              </w:numPr>
              <w:spacing w:before="0" w:line="276" w:lineRule="auto"/>
              <w:ind w:left="567"/>
            </w:pPr>
            <w:r w:rsidRPr="00BC1317">
              <w:t>Placements bancaires et Crédits</w:t>
            </w:r>
          </w:p>
          <w:p w14:paraId="3E6439DB" w14:textId="27344006" w:rsidR="005A08C5" w:rsidRPr="001C7613" w:rsidRDefault="00BC1317" w:rsidP="00E020FD">
            <w:pPr>
              <w:pStyle w:val="Paragraphedeliste"/>
              <w:numPr>
                <w:ilvl w:val="0"/>
                <w:numId w:val="7"/>
              </w:numPr>
              <w:spacing w:before="0" w:line="276" w:lineRule="auto"/>
              <w:ind w:left="567"/>
              <w:rPr>
                <w:b/>
                <w:bCs/>
              </w:rPr>
            </w:pPr>
            <w:r w:rsidRPr="00BC1317">
              <w:t>Bourse</w:t>
            </w:r>
          </w:p>
        </w:tc>
      </w:tr>
      <w:tr w:rsidR="00761838" w14:paraId="2F1D94B6" w14:textId="77777777" w:rsidTr="00F70E09">
        <w:trPr>
          <w:trHeight w:val="741"/>
        </w:trPr>
        <w:tc>
          <w:tcPr>
            <w:tcW w:w="9634" w:type="dxa"/>
          </w:tcPr>
          <w:p w14:paraId="4730F7C9" w14:textId="77777777" w:rsidR="00761838" w:rsidRDefault="00BF7172" w:rsidP="00E020F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Emploi </w:t>
            </w:r>
          </w:p>
          <w:p w14:paraId="12ADC2F9" w14:textId="65FA8F68" w:rsidR="00BF7172" w:rsidRDefault="00BF7172" w:rsidP="00E020FD">
            <w:pPr>
              <w:pStyle w:val="Paragraphedeliste"/>
              <w:numPr>
                <w:ilvl w:val="0"/>
                <w:numId w:val="7"/>
              </w:numPr>
              <w:spacing w:before="0" w:line="276" w:lineRule="auto"/>
              <w:ind w:left="567"/>
              <w:rPr>
                <w:b/>
                <w:bCs/>
              </w:rPr>
            </w:pPr>
            <w:r w:rsidRPr="008500B2">
              <w:t>Marché du travail : offre et demande, notion</w:t>
            </w:r>
            <w:r w:rsidR="008500B2" w:rsidRPr="008500B2">
              <w:t xml:space="preserve"> de chômage</w:t>
            </w:r>
          </w:p>
        </w:tc>
      </w:tr>
      <w:tr w:rsidR="005C1815" w14:paraId="03E36DE7" w14:textId="77777777" w:rsidTr="00F70E09">
        <w:trPr>
          <w:trHeight w:val="1132"/>
        </w:trPr>
        <w:tc>
          <w:tcPr>
            <w:tcW w:w="9634" w:type="dxa"/>
          </w:tcPr>
          <w:p w14:paraId="5EF07481" w14:textId="5CC9BC3C" w:rsidR="005C1815" w:rsidRPr="006A26F1" w:rsidRDefault="00DF0A9B" w:rsidP="00E020F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5C1815" w:rsidRPr="006A26F1">
              <w:rPr>
                <w:b/>
                <w:bCs/>
              </w:rPr>
              <w:t>changes internationaux</w:t>
            </w:r>
          </w:p>
          <w:p w14:paraId="49B25480" w14:textId="61A82271" w:rsidR="005C1815" w:rsidRDefault="00392360" w:rsidP="00E020FD">
            <w:pPr>
              <w:pStyle w:val="Paragraphedeliste"/>
              <w:numPr>
                <w:ilvl w:val="0"/>
                <w:numId w:val="7"/>
              </w:numPr>
              <w:spacing w:before="0" w:line="276" w:lineRule="auto"/>
              <w:ind w:left="567"/>
            </w:pPr>
            <w:r>
              <w:t>Balance courante et balance des paiements</w:t>
            </w:r>
          </w:p>
          <w:p w14:paraId="596091F5" w14:textId="77777777" w:rsidR="005C1815" w:rsidRDefault="005C1815" w:rsidP="00E020FD">
            <w:pPr>
              <w:pStyle w:val="Paragraphedeliste"/>
              <w:numPr>
                <w:ilvl w:val="0"/>
                <w:numId w:val="7"/>
              </w:numPr>
              <w:spacing w:before="0" w:line="276" w:lineRule="auto"/>
              <w:ind w:left="567"/>
            </w:pPr>
            <w:r>
              <w:t>Protectionnisme et libre échange</w:t>
            </w:r>
          </w:p>
          <w:p w14:paraId="29678844" w14:textId="43A8C0B8" w:rsidR="005C1815" w:rsidRDefault="006A094C" w:rsidP="00E020FD">
            <w:pPr>
              <w:pStyle w:val="Paragraphedeliste"/>
              <w:numPr>
                <w:ilvl w:val="0"/>
                <w:numId w:val="7"/>
              </w:numPr>
              <w:spacing w:before="0" w:line="276" w:lineRule="auto"/>
              <w:ind w:left="567"/>
            </w:pPr>
            <w:r>
              <w:t>A</w:t>
            </w:r>
            <w:r w:rsidR="005C1815">
              <w:t>ccords internationaux</w:t>
            </w:r>
          </w:p>
        </w:tc>
      </w:tr>
    </w:tbl>
    <w:p w14:paraId="1AAFF00E" w14:textId="77777777" w:rsidR="00D96D65" w:rsidRDefault="00D96D65" w:rsidP="00B95B40">
      <w:pPr>
        <w:spacing w:line="276" w:lineRule="auto"/>
      </w:pPr>
    </w:p>
    <w:p w14:paraId="34412162" w14:textId="583DC009" w:rsidR="003C2F16" w:rsidRPr="0031547C" w:rsidRDefault="003C2F16" w:rsidP="00B95B40">
      <w:pPr>
        <w:spacing w:line="276" w:lineRule="auto"/>
        <w:rPr>
          <w:color w:val="4472C4" w:themeColor="accent1"/>
          <w:sz w:val="32"/>
          <w:szCs w:val="32"/>
        </w:rPr>
      </w:pPr>
      <w:r w:rsidRPr="0031547C">
        <w:rPr>
          <w:color w:val="4472C4" w:themeColor="accent1"/>
          <w:sz w:val="32"/>
          <w:szCs w:val="32"/>
        </w:rPr>
        <w:t>Savoir-faire essentiels au terme des 2e et 3e  degré</w:t>
      </w:r>
      <w:r w:rsidR="001A7F8B" w:rsidRPr="0031547C">
        <w:rPr>
          <w:color w:val="4472C4" w:themeColor="accent1"/>
          <w:sz w:val="32"/>
          <w:szCs w:val="32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4"/>
      </w:tblGrid>
      <w:tr w:rsidR="00014639" w14:paraId="010800B7" w14:textId="77777777" w:rsidTr="00F70E09">
        <w:tc>
          <w:tcPr>
            <w:tcW w:w="9634" w:type="dxa"/>
          </w:tcPr>
          <w:p w14:paraId="44883252" w14:textId="77777777" w:rsidR="00014639" w:rsidRDefault="00014639" w:rsidP="00E020FD">
            <w:pPr>
              <w:spacing w:line="276" w:lineRule="auto"/>
            </w:pPr>
            <w:r>
              <w:t>Lecture et construction de graphiques</w:t>
            </w:r>
          </w:p>
          <w:p w14:paraId="37FF55F2" w14:textId="77777777" w:rsidR="00014639" w:rsidRDefault="00014639" w:rsidP="00E020FD">
            <w:pPr>
              <w:spacing w:line="276" w:lineRule="auto"/>
            </w:pPr>
            <w:r>
              <w:t>Analyse de tableaux statistiques</w:t>
            </w:r>
          </w:p>
          <w:p w14:paraId="5990FCCE" w14:textId="77777777" w:rsidR="00014639" w:rsidRDefault="00014639" w:rsidP="00E020FD">
            <w:pPr>
              <w:spacing w:line="276" w:lineRule="auto"/>
            </w:pPr>
            <w:r>
              <w:t>Calcul de pourcentages et de moyennes</w:t>
            </w:r>
          </w:p>
          <w:p w14:paraId="2A3F4726" w14:textId="77777777" w:rsidR="00014639" w:rsidRDefault="00014639" w:rsidP="00E020FD">
            <w:pPr>
              <w:spacing w:line="276" w:lineRule="auto"/>
            </w:pPr>
            <w:r>
              <w:t>Calcul d’intérêts</w:t>
            </w:r>
          </w:p>
          <w:p w14:paraId="5D90CF30" w14:textId="77777777" w:rsidR="00014639" w:rsidRDefault="00014639" w:rsidP="00E020FD">
            <w:pPr>
              <w:spacing w:line="276" w:lineRule="auto"/>
            </w:pPr>
            <w:r>
              <w:t>Calcul de la productivité</w:t>
            </w:r>
          </w:p>
          <w:p w14:paraId="78F59953" w14:textId="084C52D0" w:rsidR="00014639" w:rsidRDefault="00014639" w:rsidP="00E020FD">
            <w:pPr>
              <w:spacing w:line="276" w:lineRule="auto"/>
            </w:pPr>
            <w:r>
              <w:t>Travail d’analyse et de recherche via internet</w:t>
            </w:r>
          </w:p>
        </w:tc>
      </w:tr>
    </w:tbl>
    <w:p w14:paraId="6CA6102D" w14:textId="77777777" w:rsidR="00014639" w:rsidRPr="007A1385" w:rsidRDefault="00014639" w:rsidP="00B95B40">
      <w:pPr>
        <w:spacing w:line="276" w:lineRule="auto"/>
      </w:pPr>
    </w:p>
    <w:p w14:paraId="5118628E" w14:textId="77777777" w:rsidR="006272B2" w:rsidRDefault="006272B2" w:rsidP="005F48A7">
      <w:pPr>
        <w:spacing w:after="0" w:line="276" w:lineRule="auto"/>
        <w:jc w:val="both"/>
      </w:pPr>
      <w:r>
        <w:t>Pour toute question complémentaire, n’hésitez pas à nous contacter :</w:t>
      </w:r>
    </w:p>
    <w:p w14:paraId="2F89D250" w14:textId="77777777" w:rsidR="006272B2" w:rsidRDefault="00DA6C31" w:rsidP="005F48A7">
      <w:pPr>
        <w:pStyle w:val="Paragraphedeliste"/>
        <w:numPr>
          <w:ilvl w:val="0"/>
          <w:numId w:val="10"/>
        </w:numPr>
        <w:spacing w:before="0" w:line="276" w:lineRule="auto"/>
        <w:jc w:val="both"/>
      </w:pPr>
      <w:hyperlink r:id="rId9" w:history="1">
        <w:r w:rsidR="006272B2">
          <w:rPr>
            <w:rStyle w:val="Lienhypertexte"/>
          </w:rPr>
          <w:t>jeanmarie.bauduin@segec.be</w:t>
        </w:r>
      </w:hyperlink>
    </w:p>
    <w:p w14:paraId="555610CA" w14:textId="77777777" w:rsidR="006272B2" w:rsidRDefault="00DA6C31" w:rsidP="005F48A7">
      <w:pPr>
        <w:pStyle w:val="Paragraphedeliste"/>
        <w:numPr>
          <w:ilvl w:val="0"/>
          <w:numId w:val="10"/>
        </w:numPr>
        <w:spacing w:before="0" w:line="276" w:lineRule="auto"/>
        <w:jc w:val="both"/>
      </w:pPr>
      <w:hyperlink r:id="rId10" w:history="1">
        <w:r w:rsidR="006272B2">
          <w:rPr>
            <w:rStyle w:val="Lienhypertexte"/>
          </w:rPr>
          <w:t>catherine.libert@segec.be</w:t>
        </w:r>
      </w:hyperlink>
    </w:p>
    <w:p w14:paraId="61CF0B65" w14:textId="77777777" w:rsidR="006272B2" w:rsidRDefault="00DA6C31" w:rsidP="005F48A7">
      <w:pPr>
        <w:pStyle w:val="Paragraphedeliste"/>
        <w:numPr>
          <w:ilvl w:val="0"/>
          <w:numId w:val="10"/>
        </w:numPr>
        <w:spacing w:before="0" w:line="276" w:lineRule="auto"/>
        <w:jc w:val="both"/>
      </w:pPr>
      <w:hyperlink r:id="rId11" w:history="1">
        <w:r w:rsidR="006272B2">
          <w:rPr>
            <w:rStyle w:val="Lienhypertexte"/>
          </w:rPr>
          <w:t>genevieve.perrad@segec.be</w:t>
        </w:r>
      </w:hyperlink>
    </w:p>
    <w:p w14:paraId="4A326296" w14:textId="510D3F62" w:rsidR="00D96D65" w:rsidRDefault="00D96D65" w:rsidP="005F48A7">
      <w:pPr>
        <w:spacing w:after="0" w:line="276" w:lineRule="auto"/>
      </w:pPr>
    </w:p>
    <w:p w14:paraId="7524AAD1" w14:textId="77777777" w:rsidR="00464A77" w:rsidRDefault="00464A77" w:rsidP="005F48A7">
      <w:pPr>
        <w:spacing w:after="0" w:line="276" w:lineRule="auto"/>
      </w:pPr>
      <w:r>
        <w:t xml:space="preserve">Vous trouverez également de nombreuses informations et ressources sur notre site à l’adresse : </w:t>
      </w:r>
      <w:hyperlink r:id="rId12" w:history="1">
        <w:r w:rsidRPr="00A43906">
          <w:rPr>
            <w:rStyle w:val="Lienhypertexte"/>
            <w:rFonts w:cs="Calibri"/>
          </w:rPr>
          <w:t>https://ses.fesec.be/</w:t>
        </w:r>
      </w:hyperlink>
    </w:p>
    <w:p w14:paraId="04456447" w14:textId="77777777" w:rsidR="00464A77" w:rsidRDefault="00464A77" w:rsidP="00B95B40">
      <w:pPr>
        <w:spacing w:line="276" w:lineRule="auto"/>
      </w:pPr>
    </w:p>
    <w:sectPr w:rsidR="00464A77" w:rsidSect="00DA6C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077" w:bottom="1418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EB899" w14:textId="77777777" w:rsidR="00074619" w:rsidRDefault="00074619" w:rsidP="00C83D4E">
      <w:pPr>
        <w:spacing w:after="0" w:line="240" w:lineRule="auto"/>
      </w:pPr>
      <w:r>
        <w:separator/>
      </w:r>
    </w:p>
  </w:endnote>
  <w:endnote w:type="continuationSeparator" w:id="0">
    <w:p w14:paraId="4BAB8F16" w14:textId="77777777" w:rsidR="00074619" w:rsidRDefault="00074619" w:rsidP="00C8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BC68" w14:textId="77777777" w:rsidR="00DA6C31" w:rsidRDefault="00DA6C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FFA47" w14:textId="68EFED52" w:rsidR="00C83D4E" w:rsidRPr="00DA6C31" w:rsidRDefault="00DA6C31" w:rsidP="00DA6C31">
    <w:pPr>
      <w:pStyle w:val="Pieddepage"/>
      <w:tabs>
        <w:tab w:val="clear" w:pos="4536"/>
        <w:tab w:val="clear" w:pos="9072"/>
        <w:tab w:val="center" w:pos="4820"/>
        <w:tab w:val="right" w:pos="9639"/>
      </w:tabs>
      <w:rPr>
        <w:sz w:val="18"/>
        <w:szCs w:val="18"/>
      </w:rPr>
    </w:pPr>
    <w:r w:rsidRPr="002B1491">
      <w:rPr>
        <w:b/>
        <w:noProof/>
        <w:sz w:val="18"/>
        <w:szCs w:val="18"/>
      </w:rPr>
      <w:drawing>
        <wp:inline distT="0" distB="0" distL="0" distR="0" wp14:anchorId="5BA0DA88" wp14:editId="44EC8778">
          <wp:extent cx="723900" cy="424815"/>
          <wp:effectExtent l="0" t="0" r="0" b="0"/>
          <wp:docPr id="3" name="Image 3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lan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B1491">
      <w:rPr>
        <w:sz w:val="18"/>
        <w:szCs w:val="18"/>
      </w:rPr>
      <w:tab/>
      <w:t xml:space="preserve">Sciences économiques et sociales - </w:t>
    </w:r>
    <w:r w:rsidRPr="00DA6C31">
      <w:rPr>
        <w:sz w:val="18"/>
        <w:szCs w:val="18"/>
      </w:rPr>
      <w:t xml:space="preserve">Sciences économiques appliquées </w:t>
    </w:r>
    <w:r>
      <w:rPr>
        <w:sz w:val="18"/>
        <w:szCs w:val="18"/>
      </w:rPr>
      <w:t>-</w:t>
    </w:r>
    <w:bookmarkStart w:id="1" w:name="_GoBack"/>
    <w:bookmarkEnd w:id="1"/>
    <w:r w:rsidRPr="00DA6C31">
      <w:rPr>
        <w:sz w:val="18"/>
        <w:szCs w:val="18"/>
      </w:rPr>
      <w:t xml:space="preserve"> D2D3 </w:t>
    </w:r>
    <w:proofErr w:type="spellStart"/>
    <w:r w:rsidRPr="00DA6C31">
      <w:rPr>
        <w:sz w:val="18"/>
        <w:szCs w:val="18"/>
      </w:rPr>
      <w:t>TTr</w:t>
    </w:r>
    <w:proofErr w:type="spellEnd"/>
    <w:r w:rsidRPr="00DA6C31">
      <w:rPr>
        <w:sz w:val="18"/>
        <w:szCs w:val="18"/>
      </w:rPr>
      <w:t xml:space="preserve"> </w:t>
    </w:r>
    <w:r w:rsidRPr="002B1491">
      <w:rPr>
        <w:sz w:val="18"/>
        <w:szCs w:val="18"/>
      </w:rPr>
      <w:t>– Essentiels</w:t>
    </w:r>
    <w:r w:rsidRPr="002B1491">
      <w:rPr>
        <w:sz w:val="18"/>
        <w:szCs w:val="18"/>
      </w:rPr>
      <w:tab/>
    </w:r>
    <w:sdt>
      <w:sdtPr>
        <w:rPr>
          <w:sz w:val="18"/>
          <w:szCs w:val="18"/>
        </w:rPr>
        <w:id w:val="-1770464482"/>
        <w:docPartObj>
          <w:docPartGallery w:val="Page Numbers (Top of Page)"/>
          <w:docPartUnique/>
        </w:docPartObj>
      </w:sdtPr>
      <w:sdtContent>
        <w:r w:rsidRPr="002B1491">
          <w:rPr>
            <w:sz w:val="18"/>
            <w:szCs w:val="18"/>
            <w:lang w:val="fr-FR"/>
          </w:rPr>
          <w:t xml:space="preserve">Page </w:t>
        </w:r>
        <w:r w:rsidRPr="002B1491">
          <w:rPr>
            <w:b/>
            <w:bCs/>
            <w:sz w:val="18"/>
            <w:szCs w:val="18"/>
          </w:rPr>
          <w:fldChar w:fldCharType="begin"/>
        </w:r>
        <w:r w:rsidRPr="002B1491">
          <w:rPr>
            <w:b/>
            <w:bCs/>
            <w:sz w:val="18"/>
            <w:szCs w:val="18"/>
          </w:rPr>
          <w:instrText>PAGE</w:instrText>
        </w:r>
        <w:r w:rsidRPr="002B149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1</w:t>
        </w:r>
        <w:r w:rsidRPr="002B1491">
          <w:rPr>
            <w:b/>
            <w:bCs/>
            <w:sz w:val="18"/>
            <w:szCs w:val="18"/>
          </w:rPr>
          <w:fldChar w:fldCharType="end"/>
        </w:r>
        <w:r w:rsidRPr="002B1491">
          <w:rPr>
            <w:sz w:val="18"/>
            <w:szCs w:val="18"/>
            <w:lang w:val="fr-FR"/>
          </w:rPr>
          <w:t xml:space="preserve"> sur </w:t>
        </w:r>
        <w:r w:rsidRPr="002B1491">
          <w:rPr>
            <w:b/>
            <w:bCs/>
            <w:sz w:val="18"/>
            <w:szCs w:val="18"/>
          </w:rPr>
          <w:fldChar w:fldCharType="begin"/>
        </w:r>
        <w:r w:rsidRPr="002B1491">
          <w:rPr>
            <w:b/>
            <w:bCs/>
            <w:sz w:val="18"/>
            <w:szCs w:val="18"/>
          </w:rPr>
          <w:instrText>NUMPAGES</w:instrText>
        </w:r>
        <w:r w:rsidRPr="002B149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5</w:t>
        </w:r>
        <w:r w:rsidRPr="002B1491">
          <w:rPr>
            <w:b/>
            <w:bCs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CBEB" w14:textId="77777777" w:rsidR="00DA6C31" w:rsidRDefault="00DA6C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148E3" w14:textId="77777777" w:rsidR="00074619" w:rsidRDefault="00074619" w:rsidP="00C83D4E">
      <w:pPr>
        <w:spacing w:after="0" w:line="240" w:lineRule="auto"/>
      </w:pPr>
      <w:r>
        <w:separator/>
      </w:r>
    </w:p>
  </w:footnote>
  <w:footnote w:type="continuationSeparator" w:id="0">
    <w:p w14:paraId="6949D463" w14:textId="77777777" w:rsidR="00074619" w:rsidRDefault="00074619" w:rsidP="00C8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5664" w14:textId="77777777" w:rsidR="00DA6C31" w:rsidRDefault="00DA6C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97CA" w14:textId="77777777" w:rsidR="00DA6C31" w:rsidRDefault="00DA6C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A32E5" w14:textId="77777777" w:rsidR="00DA6C31" w:rsidRDefault="00DA6C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F33B7"/>
    <w:multiLevelType w:val="hybridMultilevel"/>
    <w:tmpl w:val="721653D8"/>
    <w:lvl w:ilvl="0" w:tplc="71CAE5B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2D6898"/>
    <w:multiLevelType w:val="hybridMultilevel"/>
    <w:tmpl w:val="BF92E298"/>
    <w:lvl w:ilvl="0" w:tplc="072EF0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10964"/>
    <w:multiLevelType w:val="hybridMultilevel"/>
    <w:tmpl w:val="16E23536"/>
    <w:lvl w:ilvl="0" w:tplc="48A08B44">
      <w:start w:val="1"/>
      <w:numFmt w:val="decimal"/>
      <w:lvlText w:val="%1."/>
      <w:lvlJc w:val="left"/>
      <w:pPr>
        <w:ind w:left="2628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80C0019">
      <w:start w:val="1"/>
      <w:numFmt w:val="lowerLetter"/>
      <w:lvlText w:val="%2."/>
      <w:lvlJc w:val="left"/>
      <w:pPr>
        <w:ind w:left="3348" w:hanging="360"/>
      </w:pPr>
    </w:lvl>
    <w:lvl w:ilvl="2" w:tplc="080C001B">
      <w:start w:val="1"/>
      <w:numFmt w:val="lowerRoman"/>
      <w:lvlText w:val="%3."/>
      <w:lvlJc w:val="right"/>
      <w:pPr>
        <w:ind w:left="4068" w:hanging="180"/>
      </w:pPr>
    </w:lvl>
    <w:lvl w:ilvl="3" w:tplc="080C000F">
      <w:start w:val="1"/>
      <w:numFmt w:val="decimal"/>
      <w:lvlText w:val="%4."/>
      <w:lvlJc w:val="left"/>
      <w:pPr>
        <w:ind w:left="4788" w:hanging="360"/>
      </w:pPr>
    </w:lvl>
    <w:lvl w:ilvl="4" w:tplc="080C0019">
      <w:start w:val="1"/>
      <w:numFmt w:val="lowerLetter"/>
      <w:lvlText w:val="%5."/>
      <w:lvlJc w:val="left"/>
      <w:pPr>
        <w:ind w:left="5508" w:hanging="360"/>
      </w:pPr>
    </w:lvl>
    <w:lvl w:ilvl="5" w:tplc="080C001B">
      <w:start w:val="1"/>
      <w:numFmt w:val="lowerRoman"/>
      <w:lvlText w:val="%6."/>
      <w:lvlJc w:val="right"/>
      <w:pPr>
        <w:ind w:left="6228" w:hanging="180"/>
      </w:pPr>
    </w:lvl>
    <w:lvl w:ilvl="6" w:tplc="080C000F">
      <w:start w:val="1"/>
      <w:numFmt w:val="decimal"/>
      <w:lvlText w:val="%7."/>
      <w:lvlJc w:val="left"/>
      <w:pPr>
        <w:ind w:left="6948" w:hanging="360"/>
      </w:pPr>
    </w:lvl>
    <w:lvl w:ilvl="7" w:tplc="080C0019">
      <w:start w:val="1"/>
      <w:numFmt w:val="lowerLetter"/>
      <w:lvlText w:val="%8."/>
      <w:lvlJc w:val="left"/>
      <w:pPr>
        <w:ind w:left="7668" w:hanging="360"/>
      </w:pPr>
    </w:lvl>
    <w:lvl w:ilvl="8" w:tplc="080C001B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4A113C8D"/>
    <w:multiLevelType w:val="hybridMultilevel"/>
    <w:tmpl w:val="592AF6E0"/>
    <w:lvl w:ilvl="0" w:tplc="072EF066">
      <w:start w:val="1"/>
      <w:numFmt w:val="decimal"/>
      <w:lvlText w:val="%1."/>
      <w:lvlJc w:val="left"/>
      <w:pPr>
        <w:ind w:left="3479" w:hanging="360"/>
      </w:pPr>
      <w:rPr>
        <w:rFonts w:ascii="Calibri" w:hAnsi="Calibri" w:hint="default"/>
        <w:b w:val="0"/>
        <w:i w:val="0"/>
        <w:sz w:val="22"/>
      </w:rPr>
    </w:lvl>
    <w:lvl w:ilvl="1" w:tplc="080C0019" w:tentative="1">
      <w:start w:val="1"/>
      <w:numFmt w:val="lowerLetter"/>
      <w:lvlText w:val="%2."/>
      <w:lvlJc w:val="left"/>
      <w:pPr>
        <w:ind w:left="4199" w:hanging="360"/>
      </w:pPr>
    </w:lvl>
    <w:lvl w:ilvl="2" w:tplc="080C001B" w:tentative="1">
      <w:start w:val="1"/>
      <w:numFmt w:val="lowerRoman"/>
      <w:lvlText w:val="%3."/>
      <w:lvlJc w:val="right"/>
      <w:pPr>
        <w:ind w:left="4919" w:hanging="180"/>
      </w:pPr>
    </w:lvl>
    <w:lvl w:ilvl="3" w:tplc="080C000F" w:tentative="1">
      <w:start w:val="1"/>
      <w:numFmt w:val="decimal"/>
      <w:lvlText w:val="%4."/>
      <w:lvlJc w:val="left"/>
      <w:pPr>
        <w:ind w:left="5639" w:hanging="360"/>
      </w:pPr>
    </w:lvl>
    <w:lvl w:ilvl="4" w:tplc="080C0019" w:tentative="1">
      <w:start w:val="1"/>
      <w:numFmt w:val="lowerLetter"/>
      <w:lvlText w:val="%5."/>
      <w:lvlJc w:val="left"/>
      <w:pPr>
        <w:ind w:left="6359" w:hanging="360"/>
      </w:pPr>
    </w:lvl>
    <w:lvl w:ilvl="5" w:tplc="080C001B" w:tentative="1">
      <w:start w:val="1"/>
      <w:numFmt w:val="lowerRoman"/>
      <w:lvlText w:val="%6."/>
      <w:lvlJc w:val="right"/>
      <w:pPr>
        <w:ind w:left="7079" w:hanging="180"/>
      </w:pPr>
    </w:lvl>
    <w:lvl w:ilvl="6" w:tplc="080C000F" w:tentative="1">
      <w:start w:val="1"/>
      <w:numFmt w:val="decimal"/>
      <w:lvlText w:val="%7."/>
      <w:lvlJc w:val="left"/>
      <w:pPr>
        <w:ind w:left="7799" w:hanging="360"/>
      </w:pPr>
    </w:lvl>
    <w:lvl w:ilvl="7" w:tplc="080C0019" w:tentative="1">
      <w:start w:val="1"/>
      <w:numFmt w:val="lowerLetter"/>
      <w:lvlText w:val="%8."/>
      <w:lvlJc w:val="left"/>
      <w:pPr>
        <w:ind w:left="8519" w:hanging="360"/>
      </w:pPr>
    </w:lvl>
    <w:lvl w:ilvl="8" w:tplc="080C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4B53715C"/>
    <w:multiLevelType w:val="hybridMultilevel"/>
    <w:tmpl w:val="FFA89B94"/>
    <w:lvl w:ilvl="0" w:tplc="072EF0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8683A"/>
    <w:multiLevelType w:val="hybridMultilevel"/>
    <w:tmpl w:val="67ACC0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843A6"/>
    <w:multiLevelType w:val="hybridMultilevel"/>
    <w:tmpl w:val="0C9AF60E"/>
    <w:lvl w:ilvl="0" w:tplc="072EF0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26370"/>
    <w:multiLevelType w:val="hybridMultilevel"/>
    <w:tmpl w:val="2876A4CE"/>
    <w:lvl w:ilvl="0" w:tplc="072EF0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06"/>
    <w:rsid w:val="000134A3"/>
    <w:rsid w:val="00014639"/>
    <w:rsid w:val="000154A1"/>
    <w:rsid w:val="0001634A"/>
    <w:rsid w:val="0002090A"/>
    <w:rsid w:val="00021434"/>
    <w:rsid w:val="000373D5"/>
    <w:rsid w:val="00043DDE"/>
    <w:rsid w:val="00056734"/>
    <w:rsid w:val="00061061"/>
    <w:rsid w:val="00074619"/>
    <w:rsid w:val="00087018"/>
    <w:rsid w:val="000901A4"/>
    <w:rsid w:val="00090FDE"/>
    <w:rsid w:val="000A6753"/>
    <w:rsid w:val="000C1181"/>
    <w:rsid w:val="000C212F"/>
    <w:rsid w:val="000C2D73"/>
    <w:rsid w:val="000D30BE"/>
    <w:rsid w:val="000F1652"/>
    <w:rsid w:val="000F185A"/>
    <w:rsid w:val="000F55EB"/>
    <w:rsid w:val="00117279"/>
    <w:rsid w:val="00126123"/>
    <w:rsid w:val="001442DF"/>
    <w:rsid w:val="0015754D"/>
    <w:rsid w:val="00160233"/>
    <w:rsid w:val="001617C9"/>
    <w:rsid w:val="00163045"/>
    <w:rsid w:val="00171310"/>
    <w:rsid w:val="00183256"/>
    <w:rsid w:val="00184380"/>
    <w:rsid w:val="00187A3A"/>
    <w:rsid w:val="00195A84"/>
    <w:rsid w:val="001A0BC8"/>
    <w:rsid w:val="001A7F8B"/>
    <w:rsid w:val="001C6D00"/>
    <w:rsid w:val="001C7613"/>
    <w:rsid w:val="001D771D"/>
    <w:rsid w:val="001E7939"/>
    <w:rsid w:val="001F696A"/>
    <w:rsid w:val="00205581"/>
    <w:rsid w:val="002162F1"/>
    <w:rsid w:val="00223C49"/>
    <w:rsid w:val="00226E6C"/>
    <w:rsid w:val="00230149"/>
    <w:rsid w:val="00234D11"/>
    <w:rsid w:val="00250FF4"/>
    <w:rsid w:val="002551B8"/>
    <w:rsid w:val="00261296"/>
    <w:rsid w:val="002629CA"/>
    <w:rsid w:val="0026752D"/>
    <w:rsid w:val="00277446"/>
    <w:rsid w:val="0028647E"/>
    <w:rsid w:val="00292093"/>
    <w:rsid w:val="0029599F"/>
    <w:rsid w:val="002A0118"/>
    <w:rsid w:val="002E1ADF"/>
    <w:rsid w:val="002E27C9"/>
    <w:rsid w:val="002F1D23"/>
    <w:rsid w:val="002F2861"/>
    <w:rsid w:val="00314F17"/>
    <w:rsid w:val="0031547C"/>
    <w:rsid w:val="003221D0"/>
    <w:rsid w:val="00333D3A"/>
    <w:rsid w:val="003646FA"/>
    <w:rsid w:val="00375D8E"/>
    <w:rsid w:val="00380989"/>
    <w:rsid w:val="00380DF5"/>
    <w:rsid w:val="003831DD"/>
    <w:rsid w:val="00384A3B"/>
    <w:rsid w:val="00392360"/>
    <w:rsid w:val="003A28AB"/>
    <w:rsid w:val="003A4154"/>
    <w:rsid w:val="003C2F16"/>
    <w:rsid w:val="003C4146"/>
    <w:rsid w:val="003D1EED"/>
    <w:rsid w:val="003E5D6F"/>
    <w:rsid w:val="004140D6"/>
    <w:rsid w:val="004148F9"/>
    <w:rsid w:val="00421944"/>
    <w:rsid w:val="00422084"/>
    <w:rsid w:val="004478A5"/>
    <w:rsid w:val="0045042D"/>
    <w:rsid w:val="004557CC"/>
    <w:rsid w:val="00455F1F"/>
    <w:rsid w:val="00457911"/>
    <w:rsid w:val="00464A77"/>
    <w:rsid w:val="00465F3B"/>
    <w:rsid w:val="00491C03"/>
    <w:rsid w:val="00492F16"/>
    <w:rsid w:val="004A6B1E"/>
    <w:rsid w:val="004C1F5B"/>
    <w:rsid w:val="004C21E9"/>
    <w:rsid w:val="004C6C25"/>
    <w:rsid w:val="004D1B53"/>
    <w:rsid w:val="004D76C8"/>
    <w:rsid w:val="004F23F4"/>
    <w:rsid w:val="004F7369"/>
    <w:rsid w:val="00501502"/>
    <w:rsid w:val="00506526"/>
    <w:rsid w:val="005139F7"/>
    <w:rsid w:val="005151A8"/>
    <w:rsid w:val="0051779B"/>
    <w:rsid w:val="00523F73"/>
    <w:rsid w:val="00536A9C"/>
    <w:rsid w:val="005409A3"/>
    <w:rsid w:val="00550051"/>
    <w:rsid w:val="00555B37"/>
    <w:rsid w:val="005627B0"/>
    <w:rsid w:val="00570106"/>
    <w:rsid w:val="005866E9"/>
    <w:rsid w:val="005914A8"/>
    <w:rsid w:val="005938FB"/>
    <w:rsid w:val="00593B4E"/>
    <w:rsid w:val="005A08C5"/>
    <w:rsid w:val="005B6E81"/>
    <w:rsid w:val="005C1815"/>
    <w:rsid w:val="005D1377"/>
    <w:rsid w:val="005E14B1"/>
    <w:rsid w:val="005F48A7"/>
    <w:rsid w:val="005F4CDD"/>
    <w:rsid w:val="005F777B"/>
    <w:rsid w:val="00601ABB"/>
    <w:rsid w:val="00605396"/>
    <w:rsid w:val="00622FE3"/>
    <w:rsid w:val="006272B2"/>
    <w:rsid w:val="00636FA9"/>
    <w:rsid w:val="00653651"/>
    <w:rsid w:val="006607FA"/>
    <w:rsid w:val="00660B1E"/>
    <w:rsid w:val="00674934"/>
    <w:rsid w:val="00680161"/>
    <w:rsid w:val="00692B5C"/>
    <w:rsid w:val="006A094C"/>
    <w:rsid w:val="006A1EE1"/>
    <w:rsid w:val="006A26F1"/>
    <w:rsid w:val="006A5949"/>
    <w:rsid w:val="006D1942"/>
    <w:rsid w:val="006E1892"/>
    <w:rsid w:val="006E5034"/>
    <w:rsid w:val="006F5393"/>
    <w:rsid w:val="0070416C"/>
    <w:rsid w:val="00704A14"/>
    <w:rsid w:val="00712410"/>
    <w:rsid w:val="00720270"/>
    <w:rsid w:val="0073362E"/>
    <w:rsid w:val="00735974"/>
    <w:rsid w:val="007372EE"/>
    <w:rsid w:val="00742483"/>
    <w:rsid w:val="00753402"/>
    <w:rsid w:val="00761838"/>
    <w:rsid w:val="00784E40"/>
    <w:rsid w:val="007A1385"/>
    <w:rsid w:val="007D2015"/>
    <w:rsid w:val="007E2816"/>
    <w:rsid w:val="007E657E"/>
    <w:rsid w:val="007F0DB6"/>
    <w:rsid w:val="008028E5"/>
    <w:rsid w:val="00803D6F"/>
    <w:rsid w:val="008138E2"/>
    <w:rsid w:val="0082248E"/>
    <w:rsid w:val="0082710F"/>
    <w:rsid w:val="00847744"/>
    <w:rsid w:val="008500B2"/>
    <w:rsid w:val="0085287D"/>
    <w:rsid w:val="008704AF"/>
    <w:rsid w:val="008748FB"/>
    <w:rsid w:val="0088352D"/>
    <w:rsid w:val="0088371A"/>
    <w:rsid w:val="008861F2"/>
    <w:rsid w:val="008864C9"/>
    <w:rsid w:val="00895120"/>
    <w:rsid w:val="008B71C5"/>
    <w:rsid w:val="008C4911"/>
    <w:rsid w:val="008D3497"/>
    <w:rsid w:val="008F2334"/>
    <w:rsid w:val="00903395"/>
    <w:rsid w:val="00916686"/>
    <w:rsid w:val="009505D1"/>
    <w:rsid w:val="00956FB0"/>
    <w:rsid w:val="00964BBD"/>
    <w:rsid w:val="0098199A"/>
    <w:rsid w:val="00985BAC"/>
    <w:rsid w:val="009A6F84"/>
    <w:rsid w:val="009B6297"/>
    <w:rsid w:val="009E105B"/>
    <w:rsid w:val="009E1844"/>
    <w:rsid w:val="00A14B63"/>
    <w:rsid w:val="00A17218"/>
    <w:rsid w:val="00A27EFA"/>
    <w:rsid w:val="00A413FD"/>
    <w:rsid w:val="00A41CB6"/>
    <w:rsid w:val="00A4544D"/>
    <w:rsid w:val="00A504AF"/>
    <w:rsid w:val="00A57687"/>
    <w:rsid w:val="00A71C5B"/>
    <w:rsid w:val="00A942C5"/>
    <w:rsid w:val="00AB0E5D"/>
    <w:rsid w:val="00AB1DE8"/>
    <w:rsid w:val="00AB2668"/>
    <w:rsid w:val="00AE33EA"/>
    <w:rsid w:val="00B065DD"/>
    <w:rsid w:val="00B13230"/>
    <w:rsid w:val="00B134F1"/>
    <w:rsid w:val="00B1659E"/>
    <w:rsid w:val="00B210ED"/>
    <w:rsid w:val="00B276A7"/>
    <w:rsid w:val="00B32BB1"/>
    <w:rsid w:val="00B34AFA"/>
    <w:rsid w:val="00B654BA"/>
    <w:rsid w:val="00B8116E"/>
    <w:rsid w:val="00B83DDA"/>
    <w:rsid w:val="00B9084E"/>
    <w:rsid w:val="00B95B40"/>
    <w:rsid w:val="00BA355C"/>
    <w:rsid w:val="00BB607F"/>
    <w:rsid w:val="00BB764E"/>
    <w:rsid w:val="00BC1317"/>
    <w:rsid w:val="00BD6407"/>
    <w:rsid w:val="00BE1364"/>
    <w:rsid w:val="00BE729E"/>
    <w:rsid w:val="00BF7172"/>
    <w:rsid w:val="00C02316"/>
    <w:rsid w:val="00C0234A"/>
    <w:rsid w:val="00C16100"/>
    <w:rsid w:val="00C2187E"/>
    <w:rsid w:val="00C31C4F"/>
    <w:rsid w:val="00C37BA5"/>
    <w:rsid w:val="00C41A3D"/>
    <w:rsid w:val="00C447D7"/>
    <w:rsid w:val="00C52823"/>
    <w:rsid w:val="00C758BD"/>
    <w:rsid w:val="00C81336"/>
    <w:rsid w:val="00C83D4E"/>
    <w:rsid w:val="00C96DC0"/>
    <w:rsid w:val="00C97CC8"/>
    <w:rsid w:val="00CA2AF0"/>
    <w:rsid w:val="00CA38D6"/>
    <w:rsid w:val="00CB7E14"/>
    <w:rsid w:val="00CD3E2A"/>
    <w:rsid w:val="00CD7436"/>
    <w:rsid w:val="00CE70DF"/>
    <w:rsid w:val="00CF4972"/>
    <w:rsid w:val="00CF4C0B"/>
    <w:rsid w:val="00CF720B"/>
    <w:rsid w:val="00D14623"/>
    <w:rsid w:val="00D22BB9"/>
    <w:rsid w:val="00D430D4"/>
    <w:rsid w:val="00D53063"/>
    <w:rsid w:val="00D53D80"/>
    <w:rsid w:val="00D57F1C"/>
    <w:rsid w:val="00D803B8"/>
    <w:rsid w:val="00D96D65"/>
    <w:rsid w:val="00DA2F86"/>
    <w:rsid w:val="00DA6C31"/>
    <w:rsid w:val="00DA7DDE"/>
    <w:rsid w:val="00DB1210"/>
    <w:rsid w:val="00DB4E1D"/>
    <w:rsid w:val="00DC536A"/>
    <w:rsid w:val="00DD4A93"/>
    <w:rsid w:val="00DE4BB8"/>
    <w:rsid w:val="00DF0A9B"/>
    <w:rsid w:val="00E00483"/>
    <w:rsid w:val="00E00D05"/>
    <w:rsid w:val="00E020FD"/>
    <w:rsid w:val="00E030BF"/>
    <w:rsid w:val="00E17BF4"/>
    <w:rsid w:val="00E242AD"/>
    <w:rsid w:val="00E268B3"/>
    <w:rsid w:val="00E501B7"/>
    <w:rsid w:val="00E616F8"/>
    <w:rsid w:val="00E9374A"/>
    <w:rsid w:val="00EA1B94"/>
    <w:rsid w:val="00EA414C"/>
    <w:rsid w:val="00EA6F33"/>
    <w:rsid w:val="00EB206E"/>
    <w:rsid w:val="00EB352F"/>
    <w:rsid w:val="00ED2366"/>
    <w:rsid w:val="00EE033C"/>
    <w:rsid w:val="00EF231A"/>
    <w:rsid w:val="00F009CD"/>
    <w:rsid w:val="00F16DB6"/>
    <w:rsid w:val="00F2012C"/>
    <w:rsid w:val="00F24157"/>
    <w:rsid w:val="00F264C1"/>
    <w:rsid w:val="00F35B70"/>
    <w:rsid w:val="00F5131C"/>
    <w:rsid w:val="00F54919"/>
    <w:rsid w:val="00F55254"/>
    <w:rsid w:val="00F70E09"/>
    <w:rsid w:val="00F7481C"/>
    <w:rsid w:val="00F975EE"/>
    <w:rsid w:val="00FA4925"/>
    <w:rsid w:val="00FC6C32"/>
    <w:rsid w:val="00FD7E2B"/>
    <w:rsid w:val="00FE6B3F"/>
    <w:rsid w:val="00FE7FA9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FC6C"/>
  <w15:chartTrackingRefBased/>
  <w15:docId w15:val="{3E6D004A-EA5F-4324-9689-2EF04958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4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34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3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3402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534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5340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53402"/>
    <w:rPr>
      <w:i/>
      <w:iCs/>
      <w:color w:val="4472C4" w:themeColor="accent1"/>
    </w:rPr>
  </w:style>
  <w:style w:type="table" w:styleId="Grilledutableau">
    <w:name w:val="Table Grid"/>
    <w:basedOn w:val="TableauNormal"/>
    <w:uiPriority w:val="39"/>
    <w:rsid w:val="00FE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Lienhypertextesuivivisit"/>
    <w:uiPriority w:val="99"/>
    <w:unhideWhenUsed/>
    <w:rsid w:val="008748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29C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629C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D1942"/>
    <w:pPr>
      <w:widowControl w:val="0"/>
      <w:autoSpaceDE w:val="0"/>
      <w:autoSpaceDN w:val="0"/>
      <w:spacing w:before="120" w:after="0" w:line="240" w:lineRule="auto"/>
      <w:ind w:left="336" w:hanging="228"/>
    </w:pPr>
    <w:rPr>
      <w:rFonts w:eastAsia="Calibri" w:cs="Calibri"/>
      <w:szCs w:val="22"/>
      <w:lang w:eastAsia="fr-BE" w:bidi="fr-BE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090FDE"/>
    <w:pPr>
      <w:widowControl w:val="0"/>
      <w:autoSpaceDE w:val="0"/>
      <w:autoSpaceDN w:val="0"/>
      <w:spacing w:after="0" w:line="240" w:lineRule="auto"/>
      <w:ind w:left="108"/>
    </w:pPr>
    <w:rPr>
      <w:rFonts w:eastAsia="Calibri" w:cs="Calibri"/>
      <w:szCs w:val="22"/>
      <w:lang w:eastAsia="fr-BE" w:bidi="fr-BE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090FDE"/>
    <w:rPr>
      <w:rFonts w:eastAsia="Calibri" w:cs="Calibri"/>
      <w:szCs w:val="22"/>
      <w:lang w:eastAsia="fr-BE" w:bidi="fr-BE"/>
    </w:rPr>
  </w:style>
  <w:style w:type="paragraph" w:styleId="En-tte">
    <w:name w:val="header"/>
    <w:basedOn w:val="Normal"/>
    <w:link w:val="En-tteCar"/>
    <w:uiPriority w:val="99"/>
    <w:unhideWhenUsed/>
    <w:rsid w:val="00C8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D4E"/>
  </w:style>
  <w:style w:type="paragraph" w:styleId="Pieddepage">
    <w:name w:val="footer"/>
    <w:basedOn w:val="Normal"/>
    <w:link w:val="PieddepageCar"/>
    <w:uiPriority w:val="99"/>
    <w:unhideWhenUsed/>
    <w:rsid w:val="00C8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D4E"/>
  </w:style>
  <w:style w:type="paragraph" w:styleId="Textedebulles">
    <w:name w:val="Balloon Text"/>
    <w:basedOn w:val="Normal"/>
    <w:link w:val="TextedebullesCar"/>
    <w:uiPriority w:val="99"/>
    <w:semiHidden/>
    <w:unhideWhenUsed/>
    <w:rsid w:val="00DA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s.fesec.b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vieve.perrad@segec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atherine.libert@segec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anmarie.bauduin@segec.b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8BE1C-9077-48F8-8DE6-153D1E83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1504</Words>
  <Characters>8273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24</vt:i4>
      </vt:variant>
    </vt:vector>
  </HeadingPairs>
  <TitlesOfParts>
    <vt:vector size="25" baseType="lpstr">
      <vt:lpstr/>
      <vt:lpstr>Général de transition et transition technique</vt:lpstr>
      <vt:lpstr>    2e degré Sciences Économiques</vt:lpstr>
      <vt:lpstr>    </vt:lpstr>
      <vt:lpstr>    2e degré Sciences Sociales</vt:lpstr>
      <vt:lpstr>    </vt:lpstr>
      <vt:lpstr>    2e degré Sciences Économiques Appliquées</vt:lpstr>
      <vt:lpstr>    3e degré Sciences Économiques</vt:lpstr>
      <vt:lpstr>    3e degré Sciences Sociales</vt:lpstr>
      <vt:lpstr>    3e degré Sciences Économiques Appliquées</vt:lpstr>
      <vt:lpstr>Technique de qualification</vt:lpstr>
      <vt:lpstr>    2e degré Gestion</vt:lpstr>
      <vt:lpstr>    2e degré Secrétariat-Tourisme</vt:lpstr>
      <vt:lpstr>    3e degré Technicien de bureau</vt:lpstr>
      <vt:lpstr>    3e degré Technicien en comptabilité</vt:lpstr>
      <vt:lpstr>    3e degré Technicien commercial</vt:lpstr>
      <vt:lpstr>    3e degré Agent en accueil et tourisme</vt:lpstr>
      <vt:lpstr>    3e degré Formation sociale et économique</vt:lpstr>
      <vt:lpstr>Professionnel</vt:lpstr>
      <vt:lpstr>    2e degré Vente</vt:lpstr>
      <vt:lpstr>    2e degré Travaux de bureau</vt:lpstr>
      <vt:lpstr>    3e degré Vendeur</vt:lpstr>
      <vt:lpstr>    3e degré Auxiliaire administratif et d’accueil</vt:lpstr>
      <vt:lpstr>    3e degré Gestionnaire de très petites entreprises</vt:lpstr>
      <vt:lpstr>    3e degré Formation sociale et économique</vt:lpstr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Libert</dc:creator>
  <cp:keywords/>
  <dc:description/>
  <cp:lastModifiedBy>Dessambre Charline</cp:lastModifiedBy>
  <cp:revision>104</cp:revision>
  <dcterms:created xsi:type="dcterms:W3CDTF">2021-02-01T12:00:00Z</dcterms:created>
  <dcterms:modified xsi:type="dcterms:W3CDTF">2021-09-02T13:04:00Z</dcterms:modified>
</cp:coreProperties>
</file>