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71CE1" w14:textId="77777777" w:rsidR="007B6229" w:rsidRPr="009E1844" w:rsidRDefault="007B6229" w:rsidP="007B6229">
      <w:pPr>
        <w:pStyle w:val="Citationintense"/>
        <w:ind w:left="0" w:right="112"/>
        <w:rPr>
          <w:i w:val="0"/>
          <w:iCs w:val="0"/>
          <w:sz w:val="36"/>
          <w:szCs w:val="40"/>
        </w:rPr>
      </w:pPr>
      <w:r w:rsidRPr="009E1844">
        <w:rPr>
          <w:i w:val="0"/>
          <w:iCs w:val="0"/>
          <w:sz w:val="36"/>
          <w:szCs w:val="40"/>
        </w:rPr>
        <w:t>Secteur des sciences économiques et sociales</w:t>
      </w:r>
    </w:p>
    <w:p w14:paraId="26329CD5" w14:textId="27620BD5" w:rsidR="007B6229" w:rsidRDefault="007B6229" w:rsidP="007B6229">
      <w:pPr>
        <w:pStyle w:val="Corpsdetexte"/>
        <w:spacing w:line="276" w:lineRule="auto"/>
        <w:ind w:left="0"/>
        <w:jc w:val="center"/>
        <w:rPr>
          <w:bCs/>
          <w:color w:val="4472C4" w:themeColor="accent1"/>
          <w:sz w:val="36"/>
          <w:szCs w:val="36"/>
        </w:rPr>
      </w:pPr>
      <w:r w:rsidRPr="00877AA7">
        <w:rPr>
          <w:bCs/>
          <w:color w:val="4472C4" w:themeColor="accent1"/>
          <w:sz w:val="36"/>
          <w:szCs w:val="36"/>
        </w:rPr>
        <w:t>Eléments à prioriser (essentiels) dans le 3</w:t>
      </w:r>
      <w:r w:rsidRPr="00877AA7">
        <w:rPr>
          <w:bCs/>
          <w:color w:val="4472C4" w:themeColor="accent1"/>
          <w:sz w:val="36"/>
          <w:szCs w:val="36"/>
          <w:vertAlign w:val="superscript"/>
        </w:rPr>
        <w:t>e</w:t>
      </w:r>
      <w:r w:rsidRPr="00877AA7">
        <w:rPr>
          <w:bCs/>
          <w:color w:val="4472C4" w:themeColor="accent1"/>
          <w:sz w:val="36"/>
          <w:szCs w:val="36"/>
        </w:rPr>
        <w:t xml:space="preserve"> degré </w:t>
      </w:r>
      <w:r>
        <w:rPr>
          <w:bCs/>
          <w:color w:val="4472C4" w:themeColor="accent1"/>
          <w:sz w:val="36"/>
          <w:szCs w:val="36"/>
        </w:rPr>
        <w:t>P</w:t>
      </w:r>
    </w:p>
    <w:p w14:paraId="503BD661" w14:textId="776CBE85" w:rsidR="007B6229" w:rsidRPr="00877AA7" w:rsidRDefault="007B6229" w:rsidP="007B6229">
      <w:pPr>
        <w:pStyle w:val="Corpsdetexte"/>
        <w:spacing w:line="276" w:lineRule="auto"/>
        <w:ind w:left="0"/>
        <w:jc w:val="center"/>
        <w:rPr>
          <w:bCs/>
          <w:color w:val="4472C4" w:themeColor="accent1"/>
          <w:sz w:val="20"/>
          <w:szCs w:val="20"/>
        </w:rPr>
      </w:pPr>
      <w:r>
        <w:rPr>
          <w:bCs/>
          <w:color w:val="4472C4" w:themeColor="accent1"/>
          <w:sz w:val="36"/>
          <w:szCs w:val="36"/>
        </w:rPr>
        <w:t>O</w:t>
      </w:r>
      <w:r w:rsidRPr="00877AA7">
        <w:rPr>
          <w:bCs/>
          <w:color w:val="4472C4" w:themeColor="accent1"/>
          <w:sz w:val="36"/>
          <w:szCs w:val="36"/>
        </w:rPr>
        <w:t>ption « </w:t>
      </w:r>
      <w:r>
        <w:rPr>
          <w:bCs/>
          <w:color w:val="4472C4" w:themeColor="accent1"/>
          <w:sz w:val="36"/>
          <w:szCs w:val="36"/>
        </w:rPr>
        <w:t>7 GTPE</w:t>
      </w:r>
      <w:r w:rsidRPr="00877AA7">
        <w:rPr>
          <w:bCs/>
          <w:color w:val="4472C4" w:themeColor="accent1"/>
          <w:sz w:val="36"/>
          <w:szCs w:val="36"/>
        </w:rPr>
        <w:t> »</w:t>
      </w:r>
    </w:p>
    <w:p w14:paraId="4065C367" w14:textId="77777777" w:rsidR="00E476CD" w:rsidRDefault="00E476CD"/>
    <w:p w14:paraId="5E367E7A" w14:textId="77777777" w:rsidR="004E1BDB" w:rsidRDefault="004E1BDB" w:rsidP="004E1BDB">
      <w:pPr>
        <w:spacing w:line="276" w:lineRule="auto"/>
        <w:contextualSpacing/>
        <w:jc w:val="both"/>
      </w:pPr>
      <w:bookmarkStart w:id="0" w:name="_Hlk81323948"/>
      <w:r w:rsidRPr="00E462E8">
        <w:t>Ce document</w:t>
      </w:r>
      <w:r>
        <w:t xml:space="preserve"> a pour objectif de fournir aux enseignants des informations relatives à l’organisation de l’année scolaire 2021-2022 dans l’enseignement qualifiant du secteur des sciences économiques et sociales. L’ensemble de ces informations doit être adapté en fonction de la réalité de chaque classe.</w:t>
      </w:r>
    </w:p>
    <w:p w14:paraId="6B9F047B" w14:textId="77777777" w:rsidR="004E1BDB" w:rsidRDefault="004E1BDB" w:rsidP="004E1BDB">
      <w:pPr>
        <w:spacing w:line="276" w:lineRule="auto"/>
        <w:contextualSpacing/>
        <w:jc w:val="both"/>
      </w:pPr>
    </w:p>
    <w:p w14:paraId="4E7BCDAE" w14:textId="77777777" w:rsidR="004E1BDB" w:rsidRDefault="004E1BDB" w:rsidP="004E1BDB">
      <w:pPr>
        <w:spacing w:line="276" w:lineRule="auto"/>
        <w:contextualSpacing/>
        <w:jc w:val="both"/>
      </w:pPr>
      <w:r>
        <w:t>Vu le contexte de ces deux dernières années, il nous parait important de r</w:t>
      </w:r>
      <w:r w:rsidRPr="00550E45">
        <w:t>éaliser, avant tout nouvel apprentissage, une évaluation purement diagnostique</w:t>
      </w:r>
      <w:r>
        <w:t xml:space="preserve"> des acquis des élèves (leurs points forts, leurs points plus faibles, …) et cibler ceux qui sont nécessaires pour l’apprentissage de nouveaux savoirs. </w:t>
      </w:r>
    </w:p>
    <w:p w14:paraId="7E8E74BB" w14:textId="77777777" w:rsidR="004E1BDB" w:rsidRDefault="004E1BDB" w:rsidP="004E1BDB">
      <w:pPr>
        <w:spacing w:line="276" w:lineRule="auto"/>
        <w:contextualSpacing/>
        <w:jc w:val="both"/>
      </w:pPr>
      <w:r>
        <w:t>Les observations participeront à la mise en place éventuelle d’un apprentissage différencié.</w:t>
      </w:r>
    </w:p>
    <w:p w14:paraId="3A21390C" w14:textId="77777777" w:rsidR="004E1BDB" w:rsidRDefault="004E1BDB" w:rsidP="004E1BDB">
      <w:pPr>
        <w:spacing w:line="276" w:lineRule="auto"/>
        <w:contextualSpacing/>
        <w:jc w:val="both"/>
      </w:pPr>
    </w:p>
    <w:p w14:paraId="279658CD" w14:textId="77777777" w:rsidR="004E1BDB" w:rsidRPr="009D66E8" w:rsidRDefault="004E1BDB" w:rsidP="004E1BDB">
      <w:pPr>
        <w:spacing w:line="276" w:lineRule="auto"/>
        <w:contextualSpacing/>
        <w:jc w:val="both"/>
      </w:pPr>
      <w:r>
        <w:t xml:space="preserve">Une évaluation diagnostique </w:t>
      </w:r>
      <w:r w:rsidRPr="009D66E8">
        <w:t>n’est pas nécessairement une évaluation « traditionnelle ». Elle peut prendre la forme d’une observation des élèves face à un exercice, un questionnaire (sur papier ou en ligne), une grille d’observation, une autoévaluation, un échange avec eux sur leurs connaissances et leur façon d’apprendre…</w:t>
      </w:r>
    </w:p>
    <w:p w14:paraId="4DD98956" w14:textId="77777777" w:rsidR="004E1BDB" w:rsidRPr="009D66E8" w:rsidRDefault="004E1BDB" w:rsidP="004E1BDB">
      <w:pPr>
        <w:spacing w:line="276" w:lineRule="auto"/>
        <w:contextualSpacing/>
        <w:jc w:val="both"/>
      </w:pPr>
      <w:r w:rsidRPr="009D66E8">
        <w:t>Cela permet aux enseignants de cibler les élèves pour lesquels une remédiation est nécessaire et ceux à qui on peut proposer des activités de dépassement.</w:t>
      </w:r>
    </w:p>
    <w:p w14:paraId="2D76926B" w14:textId="77777777" w:rsidR="004E1BDB" w:rsidRDefault="004E1BDB" w:rsidP="004E1BDB">
      <w:pPr>
        <w:spacing w:line="276" w:lineRule="auto"/>
        <w:contextualSpacing/>
        <w:jc w:val="both"/>
      </w:pPr>
    </w:p>
    <w:p w14:paraId="38DBD51C" w14:textId="77777777" w:rsidR="004E1BDB" w:rsidRDefault="004E1BDB" w:rsidP="004E1BDB">
      <w:pPr>
        <w:spacing w:line="276" w:lineRule="auto"/>
        <w:contextualSpacing/>
        <w:jc w:val="both"/>
      </w:pPr>
      <w:r>
        <w:t>La différenciation à mettre en place suite à l’évaluation diagnostique peut porter sur différents axes comme le montre le schéma suivant.</w:t>
      </w:r>
    </w:p>
    <w:p w14:paraId="04345260" w14:textId="77777777" w:rsidR="00F84ABF" w:rsidRDefault="00F84ABF" w:rsidP="004E1BDB">
      <w:pPr>
        <w:spacing w:line="276" w:lineRule="auto"/>
        <w:contextualSpacing/>
        <w:jc w:val="both"/>
      </w:pPr>
    </w:p>
    <w:p w14:paraId="15242AC0" w14:textId="77777777" w:rsidR="00F84ABF" w:rsidRDefault="00F84ABF" w:rsidP="004E1BDB">
      <w:pPr>
        <w:spacing w:line="276" w:lineRule="auto"/>
        <w:contextualSpacing/>
        <w:jc w:val="both"/>
      </w:pPr>
    </w:p>
    <w:p w14:paraId="4366B309" w14:textId="77777777" w:rsidR="00F84ABF" w:rsidRDefault="00F84ABF" w:rsidP="004E1BDB">
      <w:pPr>
        <w:spacing w:line="276" w:lineRule="auto"/>
        <w:contextualSpacing/>
        <w:jc w:val="both"/>
      </w:pPr>
    </w:p>
    <w:p w14:paraId="55F111B4" w14:textId="77777777" w:rsidR="00F84ABF" w:rsidRDefault="00F84ABF" w:rsidP="004E1BDB">
      <w:pPr>
        <w:spacing w:line="276" w:lineRule="auto"/>
        <w:contextualSpacing/>
        <w:jc w:val="both"/>
      </w:pPr>
    </w:p>
    <w:p w14:paraId="07DD44A4" w14:textId="77777777" w:rsidR="00F84ABF" w:rsidRDefault="00F84ABF" w:rsidP="004E1BDB">
      <w:pPr>
        <w:spacing w:line="276" w:lineRule="auto"/>
        <w:contextualSpacing/>
        <w:jc w:val="both"/>
      </w:pPr>
    </w:p>
    <w:p w14:paraId="4251ADEF" w14:textId="77777777" w:rsidR="00F84ABF" w:rsidRDefault="00F84ABF" w:rsidP="004E1BDB">
      <w:pPr>
        <w:spacing w:line="276" w:lineRule="auto"/>
        <w:contextualSpacing/>
        <w:jc w:val="both"/>
      </w:pPr>
    </w:p>
    <w:p w14:paraId="2574333E" w14:textId="77777777" w:rsidR="00F84ABF" w:rsidRDefault="00F84ABF" w:rsidP="004E1BDB">
      <w:pPr>
        <w:spacing w:line="276" w:lineRule="auto"/>
        <w:contextualSpacing/>
        <w:jc w:val="both"/>
      </w:pPr>
    </w:p>
    <w:p w14:paraId="7A1BE38F" w14:textId="77777777" w:rsidR="00F84ABF" w:rsidRDefault="00F84ABF" w:rsidP="004E1BDB">
      <w:pPr>
        <w:spacing w:line="276" w:lineRule="auto"/>
        <w:contextualSpacing/>
        <w:jc w:val="both"/>
      </w:pPr>
    </w:p>
    <w:p w14:paraId="63EC775D" w14:textId="77777777" w:rsidR="00F84ABF" w:rsidRDefault="00F84ABF" w:rsidP="004E1BDB">
      <w:pPr>
        <w:spacing w:line="276" w:lineRule="auto"/>
        <w:contextualSpacing/>
        <w:jc w:val="both"/>
      </w:pPr>
    </w:p>
    <w:p w14:paraId="43D7AAA5" w14:textId="77777777" w:rsidR="00F84ABF" w:rsidRDefault="00F84ABF" w:rsidP="004E1BDB">
      <w:pPr>
        <w:spacing w:line="276" w:lineRule="auto"/>
        <w:contextualSpacing/>
        <w:jc w:val="both"/>
      </w:pPr>
    </w:p>
    <w:p w14:paraId="5D8B2D10" w14:textId="77777777" w:rsidR="00F84ABF" w:rsidRDefault="00F84ABF" w:rsidP="004E1BDB">
      <w:pPr>
        <w:spacing w:line="276" w:lineRule="auto"/>
        <w:contextualSpacing/>
        <w:jc w:val="both"/>
      </w:pPr>
    </w:p>
    <w:p w14:paraId="7C60241B" w14:textId="77777777" w:rsidR="00F84ABF" w:rsidRDefault="00F84ABF" w:rsidP="004E1BDB">
      <w:pPr>
        <w:spacing w:line="276" w:lineRule="auto"/>
        <w:contextualSpacing/>
        <w:jc w:val="both"/>
      </w:pPr>
    </w:p>
    <w:p w14:paraId="7786D448" w14:textId="77777777" w:rsidR="00F84ABF" w:rsidRDefault="00F84ABF" w:rsidP="004E1BDB">
      <w:pPr>
        <w:spacing w:line="276" w:lineRule="auto"/>
        <w:contextualSpacing/>
        <w:jc w:val="both"/>
      </w:pPr>
    </w:p>
    <w:p w14:paraId="06C5B7A8" w14:textId="77777777" w:rsidR="00F84ABF" w:rsidRDefault="00F84ABF" w:rsidP="004E1BDB">
      <w:pPr>
        <w:spacing w:line="276" w:lineRule="auto"/>
        <w:contextualSpacing/>
        <w:jc w:val="both"/>
      </w:pPr>
    </w:p>
    <w:p w14:paraId="6AF2EAF4" w14:textId="77777777" w:rsidR="00F84ABF" w:rsidRDefault="00F84ABF" w:rsidP="004E1BDB">
      <w:pPr>
        <w:spacing w:line="276" w:lineRule="auto"/>
        <w:contextualSpacing/>
        <w:jc w:val="both"/>
      </w:pPr>
    </w:p>
    <w:p w14:paraId="3C8E9FB4" w14:textId="77777777" w:rsidR="00F84ABF" w:rsidRDefault="00F84ABF" w:rsidP="004E1BDB">
      <w:pPr>
        <w:spacing w:line="276" w:lineRule="auto"/>
        <w:contextualSpacing/>
        <w:jc w:val="both"/>
      </w:pPr>
    </w:p>
    <w:p w14:paraId="57FB6119" w14:textId="77777777" w:rsidR="00F84ABF" w:rsidRPr="001772AE" w:rsidRDefault="00F84ABF" w:rsidP="004E1BDB">
      <w:pPr>
        <w:spacing w:line="276" w:lineRule="auto"/>
        <w:contextualSpacing/>
        <w:jc w:val="both"/>
      </w:pPr>
    </w:p>
    <w:p w14:paraId="648B5C86" w14:textId="7C8158BD" w:rsidR="004E1BDB" w:rsidRDefault="007B6229" w:rsidP="004E1BDB">
      <w:pPr>
        <w:pStyle w:val="Paragraphedeliste"/>
        <w:ind w:left="0" w:firstLine="0"/>
        <w:jc w:val="both"/>
      </w:pPr>
      <w:r w:rsidRPr="00B7012A">
        <w:rPr>
          <w:noProof/>
        </w:rPr>
        <w:lastRenderedPageBreak/>
        <w:drawing>
          <wp:inline distT="0" distB="0" distL="0" distR="0" wp14:anchorId="09365056" wp14:editId="63C3C20F">
            <wp:extent cx="5760720" cy="3240129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97A36" w14:textId="6981F222" w:rsidR="004E1BDB" w:rsidRDefault="004E1BDB" w:rsidP="004E1BDB">
      <w:pPr>
        <w:pStyle w:val="Paragraphedeliste"/>
        <w:ind w:left="0" w:firstLine="0"/>
        <w:jc w:val="both"/>
      </w:pPr>
    </w:p>
    <w:p w14:paraId="56825B48" w14:textId="77777777" w:rsidR="004E1BDB" w:rsidRDefault="004E1BDB" w:rsidP="004E1BDB">
      <w:pPr>
        <w:pStyle w:val="Paragraphedeliste"/>
        <w:spacing w:before="0" w:after="160" w:line="276" w:lineRule="auto"/>
        <w:ind w:left="0" w:firstLine="0"/>
        <w:jc w:val="both"/>
      </w:pPr>
      <w:r>
        <w:t>À la suite du diagnostic, l’enseignant planifie les apprentissages, les remédiations, les évaluations à valeur sommative et certificative (uniquement pour les essentiels). Des évaluations à valeur formative (pour l’ensemble des attendus du programme) sont réalisées toute l’année.</w:t>
      </w:r>
    </w:p>
    <w:p w14:paraId="61F4C80C" w14:textId="77777777" w:rsidR="004E1BDB" w:rsidRDefault="004E1BDB" w:rsidP="004E1BDB">
      <w:pPr>
        <w:pStyle w:val="Paragraphedeliste"/>
        <w:spacing w:before="0" w:after="160" w:line="276" w:lineRule="auto"/>
        <w:ind w:left="0" w:firstLine="0"/>
        <w:jc w:val="both"/>
      </w:pPr>
      <w:r>
        <w:t>Le document d’intentions pédagogiques (DIP) tient compte de cette planification.</w:t>
      </w:r>
    </w:p>
    <w:p w14:paraId="06AB6DF9" w14:textId="77777777" w:rsidR="004E1BDB" w:rsidRPr="00550E45" w:rsidRDefault="004E1BDB" w:rsidP="004E1BDB">
      <w:pPr>
        <w:pStyle w:val="Paragraphedeliste"/>
        <w:spacing w:before="0" w:after="160" w:line="276" w:lineRule="auto"/>
        <w:ind w:left="0" w:firstLine="0"/>
        <w:jc w:val="both"/>
      </w:pPr>
      <w:r>
        <w:t>Il est conseillé à l’enseignant de r</w:t>
      </w:r>
      <w:r w:rsidRPr="00550E45">
        <w:t>epenser les espaces d’apprentissage </w:t>
      </w:r>
      <w:r>
        <w:t xml:space="preserve">et de continuer à utiliser le numérique qui reste </w:t>
      </w:r>
      <w:r w:rsidRPr="00550E45">
        <w:t>une composante non négligeable</w:t>
      </w:r>
      <w:r>
        <w:t xml:space="preserve"> du processus d’apprentissage.</w:t>
      </w:r>
    </w:p>
    <w:bookmarkEnd w:id="0"/>
    <w:p w14:paraId="79A6955D" w14:textId="77777777" w:rsidR="004E1BDB" w:rsidRDefault="004E1BDB" w:rsidP="004E1BDB">
      <w:pPr>
        <w:spacing w:line="276" w:lineRule="auto"/>
        <w:contextualSpacing/>
        <w:jc w:val="both"/>
      </w:pPr>
      <w:r w:rsidRPr="007414EE">
        <w:t>Pour le 3</w:t>
      </w:r>
      <w:r w:rsidRPr="007414EE">
        <w:rPr>
          <w:vertAlign w:val="superscript"/>
        </w:rPr>
        <w:t>e</w:t>
      </w:r>
      <w:r w:rsidRPr="007414EE">
        <w:t xml:space="preserve"> degré </w:t>
      </w:r>
      <w:r>
        <w:t>P</w:t>
      </w:r>
      <w:r w:rsidRPr="007414EE">
        <w:t xml:space="preserve"> (5</w:t>
      </w:r>
      <w:r w:rsidRPr="007414EE">
        <w:rPr>
          <w:vertAlign w:val="superscript"/>
        </w:rPr>
        <w:t>e</w:t>
      </w:r>
      <w:r w:rsidRPr="007414EE">
        <w:t xml:space="preserve"> et 6</w:t>
      </w:r>
      <w:r w:rsidRPr="007414EE">
        <w:rPr>
          <w:vertAlign w:val="superscript"/>
        </w:rPr>
        <w:t>e</w:t>
      </w:r>
      <w:r w:rsidRPr="007414EE">
        <w:t xml:space="preserve"> années), vous trouverez ci-dessous les essentiels présentés sur base du découpage du métier en EAC et sur base du profil de formation.</w:t>
      </w:r>
      <w:r>
        <w:t xml:space="preserve">  Les compétences non prioritaires apparaissent avec un fond de couleur comme ci-dessous.</w:t>
      </w:r>
    </w:p>
    <w:p w14:paraId="06BCFB90" w14:textId="77777777" w:rsidR="004E1BDB" w:rsidRDefault="004E1BDB" w:rsidP="004E1BDB">
      <w:pPr>
        <w:spacing w:line="276" w:lineRule="auto"/>
        <w:contextualSpacing/>
        <w:jc w:val="both"/>
      </w:pPr>
    </w:p>
    <w:p w14:paraId="1B0B70A6" w14:textId="77777777" w:rsidR="004E1BDB" w:rsidRDefault="004E1BDB" w:rsidP="004E1BDB">
      <w:pPr>
        <w:spacing w:line="276" w:lineRule="auto"/>
        <w:contextualSpacing/>
        <w:jc w:val="both"/>
      </w:pPr>
      <w:r>
        <w:rPr>
          <w:noProof/>
          <w:sz w:val="24"/>
          <w:szCs w:val="24"/>
        </w:rPr>
        <w:drawing>
          <wp:inline distT="0" distB="0" distL="0" distR="0" wp14:anchorId="35963F2F" wp14:editId="6002D087">
            <wp:extent cx="1627635" cy="29260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5" cy="29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D3FA9" w14:textId="77777777" w:rsidR="004E1BDB" w:rsidRDefault="004E1BDB" w:rsidP="004E1BDB">
      <w:pPr>
        <w:spacing w:line="276" w:lineRule="auto"/>
        <w:jc w:val="both"/>
      </w:pPr>
    </w:p>
    <w:p w14:paraId="48B00871" w14:textId="77777777" w:rsidR="004E1BDB" w:rsidRDefault="004E1BDB" w:rsidP="004E1BDB">
      <w:pPr>
        <w:spacing w:line="276" w:lineRule="auto"/>
        <w:jc w:val="both"/>
      </w:pPr>
      <w:r>
        <w:t>Pour toute question complémentaire, n’hésitez pas à nous contacter :</w:t>
      </w:r>
    </w:p>
    <w:p w14:paraId="2440ACEC" w14:textId="77777777" w:rsidR="004E1BDB" w:rsidRDefault="00754D12" w:rsidP="004E1BDB">
      <w:pPr>
        <w:pStyle w:val="Paragraphedeliste"/>
        <w:numPr>
          <w:ilvl w:val="0"/>
          <w:numId w:val="1"/>
        </w:numPr>
        <w:spacing w:before="0" w:line="276" w:lineRule="auto"/>
        <w:jc w:val="both"/>
      </w:pPr>
      <w:hyperlink r:id="rId9" w:history="1">
        <w:r w:rsidR="004E1BDB">
          <w:rPr>
            <w:rStyle w:val="Lienhypertexte"/>
          </w:rPr>
          <w:t>jeanmarie.bauduin@segec.be</w:t>
        </w:r>
      </w:hyperlink>
    </w:p>
    <w:p w14:paraId="6036935A" w14:textId="77777777" w:rsidR="004E1BDB" w:rsidRDefault="00754D12" w:rsidP="004E1BDB">
      <w:pPr>
        <w:pStyle w:val="Paragraphedeliste"/>
        <w:numPr>
          <w:ilvl w:val="0"/>
          <w:numId w:val="1"/>
        </w:numPr>
        <w:spacing w:before="0" w:line="276" w:lineRule="auto"/>
        <w:jc w:val="both"/>
      </w:pPr>
      <w:hyperlink r:id="rId10" w:history="1">
        <w:r w:rsidR="004E1BDB">
          <w:rPr>
            <w:rStyle w:val="Lienhypertexte"/>
          </w:rPr>
          <w:t>catherine.libert@segec.be</w:t>
        </w:r>
      </w:hyperlink>
    </w:p>
    <w:p w14:paraId="28BFD7B0" w14:textId="77777777" w:rsidR="004E1BDB" w:rsidRDefault="00754D12" w:rsidP="004E1BDB">
      <w:pPr>
        <w:pStyle w:val="Paragraphedeliste"/>
        <w:numPr>
          <w:ilvl w:val="0"/>
          <w:numId w:val="1"/>
        </w:numPr>
        <w:spacing w:before="0" w:line="276" w:lineRule="auto"/>
        <w:jc w:val="both"/>
      </w:pPr>
      <w:hyperlink r:id="rId11" w:history="1">
        <w:r w:rsidR="004E1BDB">
          <w:rPr>
            <w:rStyle w:val="Lienhypertexte"/>
          </w:rPr>
          <w:t>genevieve.perrad@segec.be</w:t>
        </w:r>
      </w:hyperlink>
    </w:p>
    <w:p w14:paraId="62C2354E" w14:textId="77777777" w:rsidR="004E1BDB" w:rsidRDefault="004E1BDB" w:rsidP="004E1BDB">
      <w:pPr>
        <w:rPr>
          <w:rStyle w:val="Lienhypertexte"/>
          <w:rFonts w:cs="Calibri"/>
        </w:rPr>
      </w:pPr>
      <w:bookmarkStart w:id="1" w:name="_Hlk81324893"/>
      <w:r>
        <w:t xml:space="preserve">Vous trouverez également de nombreuses informations et ressources sur notre site à l’adresse : </w:t>
      </w:r>
      <w:hyperlink r:id="rId12" w:history="1">
        <w:r w:rsidRPr="00E91559">
          <w:rPr>
            <w:rStyle w:val="Lienhypertexte"/>
            <w:rFonts w:cs="Calibri"/>
          </w:rPr>
          <w:t>https://ses.fesec.be/</w:t>
        </w:r>
      </w:hyperlink>
      <w:bookmarkEnd w:id="1"/>
    </w:p>
    <w:p w14:paraId="4F83DE48" w14:textId="77777777" w:rsidR="004E1BDB" w:rsidRDefault="004E1BDB" w:rsidP="004E1BDB">
      <w:pPr>
        <w:rPr>
          <w:rStyle w:val="Lienhypertexte"/>
          <w:rFonts w:cs="Calibri"/>
        </w:rPr>
      </w:pPr>
    </w:p>
    <w:p w14:paraId="1C5F1A33" w14:textId="5E5B41DE" w:rsidR="004E1BDB" w:rsidRDefault="004E1BDB">
      <w:pPr>
        <w:sectPr w:rsidR="004E1BDB" w:rsidSect="004E1BDB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41B5FB" w14:textId="77777777" w:rsidR="00E476CD" w:rsidRDefault="00E476C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7"/>
        <w:gridCol w:w="11237"/>
      </w:tblGrid>
      <w:tr w:rsidR="0029776D" w:rsidRPr="0029776D" w14:paraId="21753FC6" w14:textId="77777777" w:rsidTr="0029776D">
        <w:trPr>
          <w:trHeight w:val="550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C99567" w14:textId="77777777" w:rsidR="0029776D" w:rsidRPr="0029776D" w:rsidRDefault="0029776D" w:rsidP="00297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eastAsia="fr-BE"/>
              </w:rPr>
              <w:t>Compétences du schéma de passation</w:t>
            </w:r>
          </w:p>
        </w:tc>
      </w:tr>
      <w:tr w:rsidR="0029776D" w:rsidRPr="0029776D" w14:paraId="1DC12CB1" w14:textId="77777777" w:rsidTr="0029776D">
        <w:trPr>
          <w:trHeight w:val="3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C60FA" w14:textId="77777777" w:rsidR="0029776D" w:rsidRPr="0029776D" w:rsidRDefault="0029776D" w:rsidP="00297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BE"/>
              </w:rPr>
              <w:t>Fonction 1 : Respecter les législations professionnelles spécifiques à l’activité indépendante</w:t>
            </w:r>
          </w:p>
        </w:tc>
      </w:tr>
      <w:tr w:rsidR="0029776D" w:rsidRPr="0029776D" w14:paraId="31759C28" w14:textId="77777777" w:rsidTr="0029776D">
        <w:trPr>
          <w:trHeight w:val="390"/>
        </w:trPr>
        <w:tc>
          <w:tcPr>
            <w:tcW w:w="9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3BEC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b/>
                <w:bCs/>
                <w:lang w:eastAsia="fr-BE"/>
              </w:rPr>
              <w:t xml:space="preserve">1.1.  Analyser les possibilités de création et/ou de reprise d’une activité indépendante. 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39A5D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1.1.1. Déterminer le créneau d’activité.</w:t>
            </w:r>
          </w:p>
        </w:tc>
      </w:tr>
      <w:tr w:rsidR="0029776D" w:rsidRPr="0029776D" w14:paraId="03BB5091" w14:textId="77777777" w:rsidTr="0029776D">
        <w:trPr>
          <w:trHeight w:val="39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4711E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A4436C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1.1.2. Déterminer les contraintes réglementaires et administratives liées à l'aménagement du territoire, l'urbanisme, le permis de conduire, </w:t>
            </w:r>
            <w:proofErr w:type="spellStart"/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etc</w:t>
            </w:r>
            <w:proofErr w:type="spellEnd"/>
          </w:p>
        </w:tc>
      </w:tr>
      <w:tr w:rsidR="0029776D" w:rsidRPr="0029776D" w14:paraId="34D91A00" w14:textId="77777777" w:rsidTr="0029776D">
        <w:trPr>
          <w:trHeight w:val="39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E8558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636C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1.1.3. Analyser les règles et procédures d’installation et d’accès à la profession.</w:t>
            </w:r>
          </w:p>
        </w:tc>
      </w:tr>
      <w:tr w:rsidR="0029776D" w:rsidRPr="0029776D" w14:paraId="3D8CE405" w14:textId="77777777" w:rsidTr="0029776D">
        <w:trPr>
          <w:trHeight w:val="390"/>
        </w:trPr>
        <w:tc>
          <w:tcPr>
            <w:tcW w:w="9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3DE8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b/>
                <w:bCs/>
                <w:lang w:eastAsia="fr-BE"/>
              </w:rPr>
              <w:t>1.2.  Effectuer les démarches nécessaires à l’exercice de l’activité indépendante.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A0D6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1.2.1. Identifier les formes juridiques possibles pour l’exercice de l’activité indépendante.</w:t>
            </w:r>
          </w:p>
        </w:tc>
      </w:tr>
      <w:tr w:rsidR="0029776D" w:rsidRPr="0029776D" w14:paraId="771C3EA9" w14:textId="77777777" w:rsidTr="0029776D">
        <w:trPr>
          <w:trHeight w:val="56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46916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04B0E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1.2.2. Identifier les éléments constitutifs du statut social de l’indépendant, de l’aidant, du conjoint aidant (organismes référents, procédures à respecter, etc.)</w:t>
            </w:r>
          </w:p>
        </w:tc>
      </w:tr>
      <w:tr w:rsidR="0029776D" w:rsidRPr="0029776D" w14:paraId="23BF9FB4" w14:textId="77777777" w:rsidTr="0029776D">
        <w:trPr>
          <w:trHeight w:val="39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CCCCA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0A5E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1.2.3. Choisir la forme juridique la mieux adaptée à la situation du candidat indépendant.</w:t>
            </w:r>
          </w:p>
        </w:tc>
      </w:tr>
      <w:tr w:rsidR="0029776D" w:rsidRPr="0029776D" w14:paraId="3E0D12A6" w14:textId="77777777" w:rsidTr="0029776D">
        <w:trPr>
          <w:trHeight w:val="64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E70EB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A783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1.2.4 . Identifier les démarches administratives obligatoires pour l’ouverture de l’activité (inscription au registre des personnes morales, assujettissement à la TVA, inscription à la Banque-carrefour des Entreprises, ouverture d’un compte bancaire, etc.).</w:t>
            </w:r>
          </w:p>
        </w:tc>
      </w:tr>
      <w:tr w:rsidR="0029776D" w:rsidRPr="0029776D" w14:paraId="406C3638" w14:textId="77777777" w:rsidTr="0029776D">
        <w:trPr>
          <w:trHeight w:val="390"/>
        </w:trPr>
        <w:tc>
          <w:tcPr>
            <w:tcW w:w="9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3DC7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b/>
                <w:bCs/>
                <w:lang w:eastAsia="fr-BE"/>
              </w:rPr>
              <w:t>1.3.  Appliquer les dispositions de droit en matière de création et/ou de reprise d’une activité indépendante.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BC1B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1.3.1. Identifier le régime matrimonial le plus adapté à l’activité et à la situation du candidat indépendant.</w:t>
            </w:r>
          </w:p>
        </w:tc>
      </w:tr>
      <w:tr w:rsidR="0029776D" w:rsidRPr="0029776D" w14:paraId="1C150037" w14:textId="77777777" w:rsidTr="0029776D">
        <w:trPr>
          <w:trHeight w:val="83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8D717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518A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1.3.2. Distinguer les types de contrats commerciaux : bail commercial, franchise, gérance. </w:t>
            </w:r>
          </w:p>
        </w:tc>
      </w:tr>
      <w:tr w:rsidR="0029776D" w:rsidRPr="0029776D" w14:paraId="45EA8AF4" w14:textId="77777777" w:rsidTr="0029776D">
        <w:trPr>
          <w:trHeight w:val="66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F2BA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b/>
                <w:bCs/>
                <w:lang w:eastAsia="fr-BE"/>
              </w:rPr>
              <w:t>1.4. Souscrire les contrats d’assurances.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C4FB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1.4.1. Distinguer les assurances obligatoires et les assurances utiles, compte tenu de l’activité indépendante.</w:t>
            </w:r>
          </w:p>
        </w:tc>
      </w:tr>
      <w:tr w:rsidR="0029776D" w:rsidRPr="0029776D" w14:paraId="55193961" w14:textId="77777777" w:rsidTr="0029776D">
        <w:trPr>
          <w:trHeight w:val="3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18E34" w14:textId="77777777" w:rsidR="0029776D" w:rsidRPr="0029776D" w:rsidRDefault="0029776D" w:rsidP="00297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BE"/>
              </w:rPr>
              <w:t>Fonction 2 : Construire le plan financier</w:t>
            </w:r>
          </w:p>
        </w:tc>
      </w:tr>
      <w:tr w:rsidR="0029776D" w:rsidRPr="0029776D" w14:paraId="2650D59B" w14:textId="77777777" w:rsidTr="0029776D">
        <w:trPr>
          <w:trHeight w:val="390"/>
        </w:trPr>
        <w:tc>
          <w:tcPr>
            <w:tcW w:w="9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2BEF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b/>
                <w:bCs/>
                <w:lang w:eastAsia="fr-BE"/>
              </w:rPr>
              <w:t>2.1.  Elaborer un projet d’installation (création, reprise) d’une activité indépendante.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46AA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2.1.1. Collecter les informations commerciales, financières, juridiques et fiscales adéquates.</w:t>
            </w:r>
          </w:p>
        </w:tc>
      </w:tr>
      <w:tr w:rsidR="0029776D" w:rsidRPr="0029776D" w14:paraId="37400582" w14:textId="77777777" w:rsidTr="0029776D">
        <w:trPr>
          <w:trHeight w:val="39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F59E1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B38C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2.1.2. Analyser les conditions (légales, techniques, financières) d’exercice de l’activité indépendante.</w:t>
            </w:r>
          </w:p>
        </w:tc>
      </w:tr>
      <w:tr w:rsidR="0029776D" w:rsidRPr="0029776D" w14:paraId="65369921" w14:textId="77777777" w:rsidTr="0029776D">
        <w:trPr>
          <w:trHeight w:val="39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02B9D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E248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2.1.3. Distinguer les éléments constitutifs d’un fonds de commerce et en estimer la vraisemblance à l’occasion d’une reprise d’activités.</w:t>
            </w:r>
            <w:bookmarkStart w:id="2" w:name="_GoBack"/>
            <w:bookmarkEnd w:id="2"/>
          </w:p>
        </w:tc>
      </w:tr>
      <w:tr w:rsidR="0029776D" w:rsidRPr="0029776D" w14:paraId="4B3105E5" w14:textId="77777777" w:rsidTr="0029776D">
        <w:trPr>
          <w:trHeight w:val="39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D70EF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7AE3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2.1.4. Etablir un budget prévisionnel, un plan d’investissement, un plan d’amortissement.</w:t>
            </w:r>
          </w:p>
        </w:tc>
      </w:tr>
      <w:tr w:rsidR="0029776D" w:rsidRPr="0029776D" w14:paraId="6970CA5B" w14:textId="77777777" w:rsidTr="0029776D">
        <w:trPr>
          <w:trHeight w:val="390"/>
        </w:trPr>
        <w:tc>
          <w:tcPr>
            <w:tcW w:w="9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FB35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b/>
                <w:bCs/>
                <w:lang w:eastAsia="fr-BE"/>
              </w:rPr>
              <w:t>2.2. Constituer le capital de départ.</w:t>
            </w:r>
          </w:p>
        </w:tc>
        <w:tc>
          <w:tcPr>
            <w:tcW w:w="40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A0F1FF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2.2.1. Identifier les sources possibles de financement.</w:t>
            </w:r>
          </w:p>
        </w:tc>
      </w:tr>
      <w:tr w:rsidR="0029776D" w:rsidRPr="0029776D" w14:paraId="78121C38" w14:textId="77777777" w:rsidTr="0029776D">
        <w:trPr>
          <w:trHeight w:val="39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FF5AD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C7EA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2.2.2. Comparer diverses propositions de financement.</w:t>
            </w:r>
          </w:p>
        </w:tc>
      </w:tr>
      <w:tr w:rsidR="0029776D" w:rsidRPr="0029776D" w14:paraId="25B792A6" w14:textId="77777777" w:rsidTr="0029776D">
        <w:trPr>
          <w:trHeight w:val="3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183BB" w14:textId="77777777" w:rsidR="0029776D" w:rsidRPr="0029776D" w:rsidRDefault="0029776D" w:rsidP="00297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BE"/>
              </w:rPr>
              <w:t>Fonction 3 : Gérer le commercial</w:t>
            </w:r>
          </w:p>
        </w:tc>
      </w:tr>
      <w:tr w:rsidR="0029776D" w:rsidRPr="0029776D" w14:paraId="5FA3C8E5" w14:textId="77777777" w:rsidTr="0029776D">
        <w:trPr>
          <w:trHeight w:val="610"/>
        </w:trPr>
        <w:tc>
          <w:tcPr>
            <w:tcW w:w="9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AB7F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b/>
                <w:bCs/>
                <w:lang w:eastAsia="fr-BE"/>
              </w:rPr>
              <w:t>3.1.  Localiser l’activité indépendante.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DBAA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3.1.1. Identifier les sources d’informations (fédérations professionnelles et interprofessionnelles, Chambres de commerce et d’industrie, bureaux économiques, guichets uniques, administrations publiques, etc.)</w:t>
            </w:r>
          </w:p>
        </w:tc>
      </w:tr>
      <w:tr w:rsidR="0029776D" w:rsidRPr="0029776D" w14:paraId="4243BB0A" w14:textId="77777777" w:rsidTr="0029776D">
        <w:trPr>
          <w:trHeight w:val="39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EE59D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8B82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3.1.2. Utiliser les outils d’accès à l’information (p. ex. banques de données).</w:t>
            </w:r>
          </w:p>
        </w:tc>
      </w:tr>
      <w:tr w:rsidR="0029776D" w:rsidRPr="0029776D" w14:paraId="67A00435" w14:textId="77777777" w:rsidTr="0029776D">
        <w:trPr>
          <w:trHeight w:val="39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B4D0B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773BE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3.1.3. Interpréter les données disponibles (enquêtes, études de marché, évolution des activités dans une zone géographique donnée, etc.)</w:t>
            </w:r>
          </w:p>
        </w:tc>
      </w:tr>
      <w:tr w:rsidR="0029776D" w:rsidRPr="0029776D" w14:paraId="6482DA51" w14:textId="77777777" w:rsidTr="0029776D">
        <w:trPr>
          <w:trHeight w:val="39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E4A56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79FF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3.1.4. Evaluer les facteurs susceptibles d’influencer la dynamique commerciale d’une zone de chalandise.</w:t>
            </w:r>
          </w:p>
        </w:tc>
      </w:tr>
      <w:tr w:rsidR="0029776D" w:rsidRPr="0029776D" w14:paraId="11322FC0" w14:textId="77777777" w:rsidTr="0029776D">
        <w:trPr>
          <w:trHeight w:val="39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E40FC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B8D2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3.1.5. Evaluer la clientèle potentielle par rapport à l’activité concernée et ses besoins.</w:t>
            </w:r>
          </w:p>
        </w:tc>
      </w:tr>
      <w:tr w:rsidR="0029776D" w:rsidRPr="0029776D" w14:paraId="19A05574" w14:textId="77777777" w:rsidTr="0029776D">
        <w:trPr>
          <w:trHeight w:val="620"/>
        </w:trPr>
        <w:tc>
          <w:tcPr>
            <w:tcW w:w="9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9BF6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b/>
                <w:bCs/>
                <w:lang w:eastAsia="fr-BE"/>
              </w:rPr>
              <w:t>3.2.  Définir une politique commerciale.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0395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3.2.1. Identifier les ressources stratégiques que l’entreprise indépendante peut tirer de concepts tels que : gamme de produits, assortiment, image de marque, promotions, publicité, variations saisonnières, événements locaux et moments-clés susceptibles d’induire une demande de produits spécifiques, etc.</w:t>
            </w:r>
          </w:p>
        </w:tc>
      </w:tr>
      <w:tr w:rsidR="0029776D" w:rsidRPr="0029776D" w14:paraId="5A2D410D" w14:textId="77777777" w:rsidTr="0029776D">
        <w:trPr>
          <w:trHeight w:val="38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B1351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CB8A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3.2.2. Reconnaître la portée de conditions générales de vente et les rédiger.</w:t>
            </w:r>
          </w:p>
        </w:tc>
      </w:tr>
      <w:tr w:rsidR="0029776D" w:rsidRPr="0029776D" w14:paraId="1F306672" w14:textId="77777777" w:rsidTr="0029776D">
        <w:trPr>
          <w:trHeight w:val="390"/>
        </w:trPr>
        <w:tc>
          <w:tcPr>
            <w:tcW w:w="9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7A59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b/>
                <w:bCs/>
                <w:lang w:eastAsia="fr-BE"/>
              </w:rPr>
              <w:t>3.3.  Assurer les opérations intervenant depuis la demande de prix à l’achat jusqu’au contrôle de la facture d’achat.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6E04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3.3.1. Etablir des critères de sélection de fournisseurs.</w:t>
            </w:r>
          </w:p>
        </w:tc>
      </w:tr>
      <w:tr w:rsidR="0029776D" w:rsidRPr="0029776D" w14:paraId="13DEFA5D" w14:textId="77777777" w:rsidTr="0029776D">
        <w:trPr>
          <w:trHeight w:val="89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6F8D6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DFEB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3.3.2. Rédiger ou adapter des demandes de prix, des commandes, des réclamations, etc.</w:t>
            </w:r>
          </w:p>
        </w:tc>
      </w:tr>
      <w:tr w:rsidR="0029776D" w:rsidRPr="0029776D" w14:paraId="3FFCBAB3" w14:textId="77777777" w:rsidTr="0029776D">
        <w:trPr>
          <w:trHeight w:val="390"/>
        </w:trPr>
        <w:tc>
          <w:tcPr>
            <w:tcW w:w="9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79E7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b/>
                <w:bCs/>
                <w:lang w:eastAsia="fr-BE"/>
              </w:rPr>
              <w:t>3.4.  Assurer les opérations intervenant depuis la remise de prix à la vente jusqu’à l’établissement de la facture de vente.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94FF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3.4.1. Etablir des critères relatifs à une remise de prix, à un devis.</w:t>
            </w:r>
          </w:p>
        </w:tc>
      </w:tr>
      <w:tr w:rsidR="0029776D" w:rsidRPr="0029776D" w14:paraId="061EEC3C" w14:textId="77777777" w:rsidTr="0029776D">
        <w:trPr>
          <w:trHeight w:val="39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34A7B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2846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3.4.2. Rédiger ou adapter des remises de prix, des réclamations, etc.</w:t>
            </w:r>
          </w:p>
        </w:tc>
      </w:tr>
      <w:tr w:rsidR="0029776D" w:rsidRPr="0029776D" w14:paraId="0FA6B32E" w14:textId="77777777" w:rsidTr="008F0991">
        <w:trPr>
          <w:trHeight w:val="84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755D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5A22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3.4.3. Etablir correctement les documents commerciaux liés à la vente (factures, notes de crédit, etc.)</w:t>
            </w:r>
          </w:p>
        </w:tc>
      </w:tr>
      <w:tr w:rsidR="0029776D" w:rsidRPr="0029776D" w14:paraId="08B6611D" w14:textId="77777777" w:rsidTr="008F0991">
        <w:trPr>
          <w:trHeight w:val="390"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A39C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b/>
                <w:bCs/>
                <w:lang w:eastAsia="fr-BE"/>
              </w:rPr>
              <w:lastRenderedPageBreak/>
              <w:t>3.5.  Gérer les opérations relatives aux stocks.</w:t>
            </w:r>
          </w:p>
        </w:tc>
        <w:tc>
          <w:tcPr>
            <w:tcW w:w="4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55E7B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3.5.4. Déterminer la méthode d’évaluation.</w:t>
            </w:r>
          </w:p>
        </w:tc>
      </w:tr>
      <w:tr w:rsidR="0029776D" w:rsidRPr="0029776D" w14:paraId="1A2BFFED" w14:textId="77777777" w:rsidTr="008F0991">
        <w:trPr>
          <w:trHeight w:val="390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85380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837A8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3.5.5. Tenir des fiches de stocks.</w:t>
            </w:r>
          </w:p>
        </w:tc>
      </w:tr>
      <w:tr w:rsidR="0029776D" w:rsidRPr="0029776D" w14:paraId="638C57AF" w14:textId="77777777" w:rsidTr="0029776D">
        <w:trPr>
          <w:trHeight w:val="39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5DD0C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E6CE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3.5.6. Utiliser un logiciel de gestion de stocks.</w:t>
            </w:r>
          </w:p>
        </w:tc>
      </w:tr>
      <w:tr w:rsidR="0029776D" w:rsidRPr="0029776D" w14:paraId="73AE68A0" w14:textId="77777777" w:rsidTr="0029776D">
        <w:trPr>
          <w:trHeight w:val="3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CAF51" w14:textId="77777777" w:rsidR="0029776D" w:rsidRPr="0029776D" w:rsidRDefault="0029776D" w:rsidP="00297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BE"/>
              </w:rPr>
              <w:t>Fonction 4 : Assurer la gestion comptable et financière de l’entreprise</w:t>
            </w:r>
          </w:p>
        </w:tc>
      </w:tr>
      <w:tr w:rsidR="0029776D" w:rsidRPr="0029776D" w14:paraId="40A85189" w14:textId="77777777" w:rsidTr="0029776D">
        <w:trPr>
          <w:trHeight w:val="390"/>
        </w:trPr>
        <w:tc>
          <w:tcPr>
            <w:tcW w:w="9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F0B6CB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b/>
                <w:bCs/>
                <w:lang w:eastAsia="fr-BE"/>
              </w:rPr>
              <w:t>4.1.  Préparer et réaliser une comptabilité simplifiée.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1362E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4.1.1. Appliquer les principes et obligations TVA.</w:t>
            </w:r>
          </w:p>
        </w:tc>
      </w:tr>
      <w:tr w:rsidR="0029776D" w:rsidRPr="0029776D" w14:paraId="212A248D" w14:textId="77777777" w:rsidTr="0029776D">
        <w:trPr>
          <w:trHeight w:val="39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CD1E9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82A7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4.1.2. Vérifier et enregistrer les factures entrantes.</w:t>
            </w:r>
          </w:p>
        </w:tc>
      </w:tr>
      <w:tr w:rsidR="0029776D" w:rsidRPr="0029776D" w14:paraId="0BCD4B50" w14:textId="77777777" w:rsidTr="0029776D">
        <w:trPr>
          <w:trHeight w:val="39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8ED91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C44A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4.1.3. Editer le journal des achats.</w:t>
            </w:r>
          </w:p>
        </w:tc>
      </w:tr>
      <w:tr w:rsidR="0029776D" w:rsidRPr="0029776D" w14:paraId="456CA76B" w14:textId="77777777" w:rsidTr="0029776D">
        <w:trPr>
          <w:trHeight w:val="39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EFC6D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BC8F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4.1.4. Vérifier et enregistrer les factures sortantes.</w:t>
            </w:r>
          </w:p>
        </w:tc>
      </w:tr>
      <w:tr w:rsidR="0029776D" w:rsidRPr="0029776D" w14:paraId="2C5A03BF" w14:textId="77777777" w:rsidTr="0029776D">
        <w:trPr>
          <w:trHeight w:val="39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F9C2B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17D5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4.1.5. Editer le journal des ventes et/ou le journal des recettes.</w:t>
            </w:r>
          </w:p>
        </w:tc>
      </w:tr>
      <w:tr w:rsidR="0029776D" w:rsidRPr="0029776D" w14:paraId="65FC8FA4" w14:textId="77777777" w:rsidTr="0029776D">
        <w:trPr>
          <w:trHeight w:val="39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E872A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0265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4.1.6. Compléter dans les délais les déclarations et relevés TVA.</w:t>
            </w:r>
          </w:p>
        </w:tc>
      </w:tr>
      <w:tr w:rsidR="0029776D" w:rsidRPr="0029776D" w14:paraId="65187305" w14:textId="77777777" w:rsidTr="0029776D">
        <w:trPr>
          <w:trHeight w:val="39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F7433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99867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4.1.7. Enregistrer les pièces financières dans le journal de trésorerie.</w:t>
            </w:r>
          </w:p>
        </w:tc>
      </w:tr>
      <w:tr w:rsidR="0029776D" w:rsidRPr="0029776D" w14:paraId="2365CB71" w14:textId="77777777" w:rsidTr="0029776D">
        <w:trPr>
          <w:trHeight w:val="39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16B38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2C78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4.1.8. Editer le journal de trésorerie.</w:t>
            </w:r>
          </w:p>
        </w:tc>
      </w:tr>
      <w:tr w:rsidR="0029776D" w:rsidRPr="0029776D" w14:paraId="5D6CFA8C" w14:textId="77777777" w:rsidTr="0029776D">
        <w:trPr>
          <w:trHeight w:val="39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A6B58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D8C6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4.1.9. Organiser et vérifier les paiements.</w:t>
            </w:r>
          </w:p>
        </w:tc>
      </w:tr>
      <w:tr w:rsidR="0029776D" w:rsidRPr="0029776D" w14:paraId="271D9FBB" w14:textId="77777777" w:rsidTr="0029776D">
        <w:trPr>
          <w:trHeight w:val="39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4A5CD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7440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4.1.10. Etablir le compte de résultats.</w:t>
            </w:r>
          </w:p>
        </w:tc>
      </w:tr>
      <w:tr w:rsidR="0029776D" w:rsidRPr="0029776D" w14:paraId="008499D9" w14:textId="77777777" w:rsidTr="0029776D">
        <w:trPr>
          <w:trHeight w:val="39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592AA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5368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4.1.11. Utiliser les logiciels ad hoc.</w:t>
            </w:r>
          </w:p>
        </w:tc>
      </w:tr>
      <w:tr w:rsidR="0029776D" w:rsidRPr="0029776D" w14:paraId="154EE8F7" w14:textId="77777777" w:rsidTr="0029776D">
        <w:trPr>
          <w:trHeight w:val="39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EBDDF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FC04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4.1.12. Appliquer les obligations liées aux réglementations fiscales.</w:t>
            </w:r>
          </w:p>
        </w:tc>
      </w:tr>
      <w:tr w:rsidR="0029776D" w:rsidRPr="0029776D" w14:paraId="102673A5" w14:textId="77777777" w:rsidTr="0029776D">
        <w:trPr>
          <w:trHeight w:val="72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1876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b/>
                <w:bCs/>
                <w:lang w:eastAsia="fr-BE"/>
              </w:rPr>
              <w:t>4.2.  Lire et interpréter les comptes annuels.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1A57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4.2.1. Identifier et analyser dans les comptes annuels les informations utiles pour la gestion de l’activité indépendante.</w:t>
            </w:r>
          </w:p>
        </w:tc>
      </w:tr>
      <w:tr w:rsidR="0029776D" w:rsidRPr="0029776D" w14:paraId="6C530C52" w14:textId="77777777" w:rsidTr="0029776D">
        <w:trPr>
          <w:trHeight w:val="390"/>
        </w:trPr>
        <w:tc>
          <w:tcPr>
            <w:tcW w:w="9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341E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b/>
                <w:bCs/>
                <w:lang w:eastAsia="fr-BE"/>
              </w:rPr>
              <w:t>4.3. Analyser les frais.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3F0F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4.3.1. Déterminer un prix de revient unitaire.</w:t>
            </w:r>
          </w:p>
        </w:tc>
      </w:tr>
      <w:tr w:rsidR="0029776D" w:rsidRPr="0029776D" w14:paraId="73AF046F" w14:textId="77777777" w:rsidTr="0029776D">
        <w:trPr>
          <w:trHeight w:val="39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C98E1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C995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4.3.2. Tirer les conclusions de la structure des frais en termes de gestion de l’activité indépendante.</w:t>
            </w:r>
          </w:p>
        </w:tc>
      </w:tr>
      <w:tr w:rsidR="0029776D" w:rsidRPr="0029776D" w14:paraId="613DE27E" w14:textId="77777777" w:rsidTr="0029776D">
        <w:trPr>
          <w:trHeight w:val="3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DDF3"/>
            <w:vAlign w:val="center"/>
            <w:hideMark/>
          </w:tcPr>
          <w:p w14:paraId="1C4A1615" w14:textId="77777777" w:rsidR="0029776D" w:rsidRPr="0029776D" w:rsidRDefault="0029776D" w:rsidP="00297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BE"/>
              </w:rPr>
              <w:lastRenderedPageBreak/>
              <w:t>Fonction 5 : Assurer la gestion des ressources humaines</w:t>
            </w:r>
          </w:p>
        </w:tc>
      </w:tr>
      <w:tr w:rsidR="0029776D" w:rsidRPr="0029776D" w14:paraId="110025F3" w14:textId="77777777" w:rsidTr="0029776D">
        <w:trPr>
          <w:trHeight w:val="96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1E26E4D3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b/>
                <w:bCs/>
                <w:lang w:eastAsia="fr-BE"/>
              </w:rPr>
              <w:t>5.1.  Recruter et former des collaborateurs.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hideMark/>
          </w:tcPr>
          <w:p w14:paraId="55253F74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5.1. Identifier les différents contrats de travail et d’emploi-formation.</w:t>
            </w:r>
          </w:p>
        </w:tc>
      </w:tr>
      <w:tr w:rsidR="0029776D" w:rsidRPr="0029776D" w14:paraId="42FC115C" w14:textId="77777777" w:rsidTr="0029776D">
        <w:trPr>
          <w:trHeight w:val="102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4DBCA8D4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b/>
                <w:bCs/>
                <w:lang w:eastAsia="fr-BE"/>
              </w:rPr>
              <w:t>5.2.  Appliquer les réglementations relatives au personnel occupé.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hideMark/>
          </w:tcPr>
          <w:p w14:paraId="59A5A6C7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5.2.2. Identifier ses obligations en matière de responsabilité civile.</w:t>
            </w:r>
          </w:p>
        </w:tc>
      </w:tr>
      <w:tr w:rsidR="0029776D" w:rsidRPr="0029776D" w14:paraId="40F2CD1F" w14:textId="77777777" w:rsidTr="0029776D">
        <w:trPr>
          <w:trHeight w:val="390"/>
        </w:trPr>
        <w:tc>
          <w:tcPr>
            <w:tcW w:w="9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5B32D3EE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b/>
                <w:bCs/>
                <w:lang w:eastAsia="fr-BE"/>
              </w:rPr>
              <w:t>5.4. Communiquer.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hideMark/>
          </w:tcPr>
          <w:p w14:paraId="47F945AD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5.4.1. Informer le personnel sur la portée de son contrat, sur sa rémunération (fiche de paie), sur le règlement de travail, sur ses droits et devoirs.</w:t>
            </w:r>
          </w:p>
        </w:tc>
      </w:tr>
      <w:tr w:rsidR="0029776D" w:rsidRPr="0029776D" w14:paraId="0874C574" w14:textId="77777777" w:rsidTr="0029776D">
        <w:trPr>
          <w:trHeight w:val="39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3FED8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hideMark/>
          </w:tcPr>
          <w:p w14:paraId="3D44837A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5.4.2. Donner des consignes précises.</w:t>
            </w:r>
          </w:p>
        </w:tc>
      </w:tr>
      <w:tr w:rsidR="0029776D" w:rsidRPr="0029776D" w14:paraId="56CB42A8" w14:textId="77777777" w:rsidTr="0029776D">
        <w:trPr>
          <w:trHeight w:val="39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7965C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hideMark/>
          </w:tcPr>
          <w:p w14:paraId="3DE00922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5.4.3. Animer des réunions du personnel visant à résoudre des problèmes d’organisation et de répartition du travail.</w:t>
            </w:r>
          </w:p>
        </w:tc>
      </w:tr>
      <w:tr w:rsidR="0029776D" w:rsidRPr="0029776D" w14:paraId="4BB38303" w14:textId="77777777" w:rsidTr="0029776D">
        <w:trPr>
          <w:trHeight w:val="39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907B0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hideMark/>
          </w:tcPr>
          <w:p w14:paraId="1138D0EB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5.4.4. Etablir de bonnes relations avec le personnel, les clients, les fournisseurs.</w:t>
            </w:r>
          </w:p>
        </w:tc>
      </w:tr>
      <w:tr w:rsidR="0029776D" w:rsidRPr="0029776D" w14:paraId="5D014FF0" w14:textId="77777777" w:rsidTr="0029776D">
        <w:trPr>
          <w:trHeight w:val="39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5FA68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hideMark/>
          </w:tcPr>
          <w:p w14:paraId="20544C56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5.4.5. Gérer les conflits.</w:t>
            </w:r>
          </w:p>
        </w:tc>
      </w:tr>
      <w:tr w:rsidR="0029776D" w:rsidRPr="0029776D" w14:paraId="0ABD2847" w14:textId="77777777" w:rsidTr="0029776D">
        <w:trPr>
          <w:trHeight w:val="390"/>
        </w:trPr>
        <w:tc>
          <w:tcPr>
            <w:tcW w:w="9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16649C15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b/>
                <w:bCs/>
                <w:lang w:eastAsia="fr-BE"/>
              </w:rPr>
              <w:t>5.5.  Appliquer les normes d’ergonomie, d’hygiène, de sécurité et de protection de l’environnement.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hideMark/>
          </w:tcPr>
          <w:p w14:paraId="2CC488B4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5.5.1. Identifier les sources d’information.</w:t>
            </w:r>
          </w:p>
        </w:tc>
      </w:tr>
      <w:tr w:rsidR="0029776D" w:rsidRPr="0029776D" w14:paraId="355B3874" w14:textId="77777777" w:rsidTr="0029776D">
        <w:trPr>
          <w:trHeight w:val="750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ED8D4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BE"/>
              </w:rPr>
            </w:pP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hideMark/>
          </w:tcPr>
          <w:p w14:paraId="5590F6DC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5.5.2. Dans les textes législatifs et réglementaires, repérer et interpréter correctement les éléments pertinents.</w:t>
            </w:r>
          </w:p>
        </w:tc>
      </w:tr>
    </w:tbl>
    <w:p w14:paraId="10158A54" w14:textId="77777777" w:rsidR="008F0991" w:rsidRPr="008F0991" w:rsidRDefault="008F0991" w:rsidP="008F0991"/>
    <w:p w14:paraId="30C1CF6E" w14:textId="7AF8C3DA" w:rsidR="008F0991" w:rsidRDefault="008F0991" w:rsidP="008F0991">
      <w:pPr>
        <w:tabs>
          <w:tab w:val="left" w:pos="980"/>
        </w:tabs>
      </w:pPr>
      <w:r>
        <w:tab/>
      </w:r>
    </w:p>
    <w:p w14:paraId="02BF58B4" w14:textId="54A5E2C0" w:rsidR="008F0991" w:rsidRPr="008F0991" w:rsidRDefault="008F0991" w:rsidP="008F0991">
      <w:pPr>
        <w:tabs>
          <w:tab w:val="left" w:pos="980"/>
        </w:tabs>
        <w:sectPr w:rsidR="008F0991" w:rsidRPr="008F0991" w:rsidSect="0029776D">
          <w:headerReference w:type="default" r:id="rId15"/>
          <w:footerReference w:type="default" r:id="rId1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4"/>
      </w:tblGrid>
      <w:tr w:rsidR="0029776D" w:rsidRPr="0029776D" w14:paraId="4912B816" w14:textId="77777777" w:rsidTr="0029776D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03063B" w14:textId="77777777" w:rsidR="0029776D" w:rsidRPr="0029776D" w:rsidRDefault="0029776D" w:rsidP="00297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eastAsia="fr-BE"/>
              </w:rPr>
              <w:lastRenderedPageBreak/>
              <w:t>Compétences du schéma de passation par EAC</w:t>
            </w:r>
          </w:p>
        </w:tc>
      </w:tr>
      <w:tr w:rsidR="0029776D" w:rsidRPr="0029776D" w14:paraId="4DDC4B05" w14:textId="77777777" w:rsidTr="0029776D">
        <w:trPr>
          <w:trHeight w:val="3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F5BD" w14:textId="77777777" w:rsidR="0029776D" w:rsidRPr="0029776D" w:rsidRDefault="0029776D" w:rsidP="00297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874E"/>
                <w:sz w:val="24"/>
                <w:szCs w:val="24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b/>
                <w:bCs/>
                <w:color w:val="21874E"/>
                <w:sz w:val="24"/>
                <w:szCs w:val="24"/>
                <w:lang w:eastAsia="fr-BE"/>
              </w:rPr>
              <w:t>EAC 1 Elaborer et créer son projet d’entreprise indépendante</w:t>
            </w:r>
          </w:p>
        </w:tc>
      </w:tr>
      <w:tr w:rsidR="0029776D" w:rsidRPr="0029776D" w14:paraId="302D9F2B" w14:textId="77777777" w:rsidTr="0029776D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E64C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1.1 Analyser sa capacité  personnelle d’entreprendre</w:t>
            </w:r>
          </w:p>
        </w:tc>
      </w:tr>
      <w:tr w:rsidR="0029776D" w:rsidRPr="0029776D" w14:paraId="6E3BBBC8" w14:textId="77777777" w:rsidTr="0029776D">
        <w:trPr>
          <w:trHeight w:val="58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F8E1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1.2 Analyser et comprendre les possibilités de création d’entreprise dans le métier choisi: les législations civiles, commerciales et professionnelles spécifiques à l’activité choisie  et les démarches légales</w:t>
            </w:r>
          </w:p>
        </w:tc>
      </w:tr>
      <w:tr w:rsidR="0029776D" w:rsidRPr="0029776D" w14:paraId="05217996" w14:textId="77777777" w:rsidTr="0029776D">
        <w:trPr>
          <w:trHeight w:val="29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E504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1.3 Effectuer les démarches  administratives  pour la création de l’entreprise</w:t>
            </w:r>
          </w:p>
        </w:tc>
      </w:tr>
      <w:tr w:rsidR="0029776D" w:rsidRPr="0029776D" w14:paraId="35B72515" w14:textId="77777777" w:rsidTr="0029776D">
        <w:trPr>
          <w:trHeight w:val="29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2CA2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1.4 Souscrire les assurances</w:t>
            </w:r>
          </w:p>
        </w:tc>
      </w:tr>
      <w:tr w:rsidR="0029776D" w:rsidRPr="0029776D" w14:paraId="4EA8F479" w14:textId="77777777" w:rsidTr="0029776D">
        <w:trPr>
          <w:trHeight w:val="31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67590" w14:textId="77777777" w:rsidR="0029776D" w:rsidRPr="0029776D" w:rsidRDefault="0029776D" w:rsidP="00297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874E"/>
                <w:sz w:val="24"/>
                <w:szCs w:val="24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b/>
                <w:bCs/>
                <w:color w:val="21874E"/>
                <w:sz w:val="24"/>
                <w:szCs w:val="24"/>
                <w:lang w:eastAsia="fr-BE"/>
              </w:rPr>
              <w:t>EAC 2 Gérer la stratégie commerciale de l’entreprise</w:t>
            </w:r>
          </w:p>
        </w:tc>
      </w:tr>
      <w:tr w:rsidR="0029776D" w:rsidRPr="0029776D" w14:paraId="17A87BBC" w14:textId="77777777" w:rsidTr="0029776D">
        <w:trPr>
          <w:trHeight w:val="29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93A8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2.1 Localiser son activité indépendante: l’étude de marché</w:t>
            </w:r>
          </w:p>
        </w:tc>
      </w:tr>
      <w:tr w:rsidR="0029776D" w:rsidRPr="0029776D" w14:paraId="4773F9BC" w14:textId="77777777" w:rsidTr="0029776D">
        <w:trPr>
          <w:trHeight w:val="29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9DC2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2.2 Définir une politique commerciale</w:t>
            </w:r>
          </w:p>
        </w:tc>
      </w:tr>
      <w:tr w:rsidR="0029776D" w:rsidRPr="0029776D" w14:paraId="12A65E06" w14:textId="77777777" w:rsidTr="0029776D">
        <w:trPr>
          <w:trHeight w:val="29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8E78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2.3 Assurer les  contacts fournisseurs et clients dans le processus achat-vente</w:t>
            </w:r>
          </w:p>
        </w:tc>
      </w:tr>
      <w:tr w:rsidR="0029776D" w:rsidRPr="0029776D" w14:paraId="0F64CF9A" w14:textId="77777777" w:rsidTr="0029776D">
        <w:trPr>
          <w:trHeight w:val="31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1CA26" w14:textId="77777777" w:rsidR="0029776D" w:rsidRPr="0029776D" w:rsidRDefault="0029776D" w:rsidP="00297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874E"/>
                <w:sz w:val="24"/>
                <w:szCs w:val="24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b/>
                <w:bCs/>
                <w:color w:val="21874E"/>
                <w:sz w:val="24"/>
                <w:szCs w:val="24"/>
                <w:lang w:eastAsia="fr-BE"/>
              </w:rPr>
              <w:t>EAC 3 Assurer la gestion des ressources humaines</w:t>
            </w:r>
          </w:p>
        </w:tc>
      </w:tr>
      <w:tr w:rsidR="0029776D" w:rsidRPr="0029776D" w14:paraId="3A551645" w14:textId="77777777" w:rsidTr="00F87A7A">
        <w:trPr>
          <w:trHeight w:val="29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DDF3"/>
            <w:vAlign w:val="center"/>
            <w:hideMark/>
          </w:tcPr>
          <w:p w14:paraId="297CF87A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3.1 Recruter et former des collaborateurs;</w:t>
            </w:r>
          </w:p>
        </w:tc>
      </w:tr>
      <w:tr w:rsidR="0029776D" w:rsidRPr="0029776D" w14:paraId="6A865A6F" w14:textId="77777777" w:rsidTr="00F87A7A">
        <w:trPr>
          <w:trHeight w:val="29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DDF3"/>
            <w:vAlign w:val="center"/>
            <w:hideMark/>
          </w:tcPr>
          <w:p w14:paraId="6D442683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3.2 Communiquer, animer des réunions, gérer les conflits</w:t>
            </w:r>
          </w:p>
        </w:tc>
      </w:tr>
      <w:tr w:rsidR="0029776D" w:rsidRPr="0029776D" w14:paraId="55020F29" w14:textId="77777777" w:rsidTr="00F87A7A">
        <w:trPr>
          <w:trHeight w:val="29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DDF3"/>
            <w:vAlign w:val="bottom"/>
            <w:hideMark/>
          </w:tcPr>
          <w:p w14:paraId="3F48556D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3.3 Expliquer et faire appliquer les règles d’ergonomie, hygiène, sécurité et protection de l’environnement (en fonction du métier)</w:t>
            </w:r>
          </w:p>
        </w:tc>
      </w:tr>
      <w:tr w:rsidR="0029776D" w:rsidRPr="0029776D" w14:paraId="3B791CAC" w14:textId="77777777" w:rsidTr="0029776D">
        <w:trPr>
          <w:trHeight w:val="31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C8C8F" w14:textId="77777777" w:rsidR="0029776D" w:rsidRPr="0029776D" w:rsidRDefault="0029776D" w:rsidP="00297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874E"/>
                <w:sz w:val="24"/>
                <w:szCs w:val="24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b/>
                <w:bCs/>
                <w:color w:val="21874E"/>
                <w:sz w:val="24"/>
                <w:szCs w:val="24"/>
                <w:lang w:eastAsia="fr-BE"/>
              </w:rPr>
              <w:t xml:space="preserve">EAC 4 Assurer la gestion comptable, financière et fiscale  </w:t>
            </w:r>
          </w:p>
        </w:tc>
      </w:tr>
      <w:tr w:rsidR="0029776D" w:rsidRPr="0029776D" w14:paraId="30F27CDD" w14:textId="77777777" w:rsidTr="0029776D">
        <w:trPr>
          <w:trHeight w:val="29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BA58" w14:textId="77777777" w:rsidR="0029776D" w:rsidRPr="0029776D" w:rsidRDefault="0029776D" w:rsidP="00297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Maîtriser les fonctions de base des logiciels de Bureautique et de Gestion</w:t>
            </w:r>
          </w:p>
        </w:tc>
      </w:tr>
      <w:tr w:rsidR="0029776D" w:rsidRPr="0029776D" w14:paraId="4430E08F" w14:textId="77777777" w:rsidTr="0029776D">
        <w:trPr>
          <w:trHeight w:val="29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FB48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4.1 Rédiger et classer les documents commerciaux</w:t>
            </w:r>
          </w:p>
        </w:tc>
      </w:tr>
      <w:tr w:rsidR="0029776D" w:rsidRPr="0029776D" w14:paraId="4AFA584C" w14:textId="77777777" w:rsidTr="0029776D">
        <w:trPr>
          <w:trHeight w:val="29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9AE7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4.2 Gérer les stocks</w:t>
            </w:r>
          </w:p>
        </w:tc>
      </w:tr>
      <w:tr w:rsidR="0029776D" w:rsidRPr="0029776D" w14:paraId="682D6FAB" w14:textId="77777777" w:rsidTr="0029776D">
        <w:trPr>
          <w:trHeight w:val="29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4749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4.3 Enregistrer manuellement les documents commerciaux</w:t>
            </w:r>
          </w:p>
        </w:tc>
      </w:tr>
      <w:tr w:rsidR="0029776D" w:rsidRPr="0029776D" w14:paraId="582DBA91" w14:textId="77777777" w:rsidTr="0029776D">
        <w:trPr>
          <w:trHeight w:val="29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DD26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4.4 Les encoder (comptabilité simplifiée)</w:t>
            </w:r>
          </w:p>
        </w:tc>
      </w:tr>
      <w:tr w:rsidR="0029776D" w:rsidRPr="0029776D" w14:paraId="60316179" w14:textId="77777777" w:rsidTr="008F0991">
        <w:trPr>
          <w:trHeight w:val="26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3C9E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4.5 Comprendre et encoder sa déclaration de TVA</w:t>
            </w:r>
          </w:p>
        </w:tc>
      </w:tr>
      <w:tr w:rsidR="0029776D" w:rsidRPr="0029776D" w14:paraId="6ACB67DD" w14:textId="77777777" w:rsidTr="0029776D">
        <w:trPr>
          <w:trHeight w:val="29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4455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4.6 Comprendre sa déclaration d’impôts</w:t>
            </w:r>
          </w:p>
        </w:tc>
      </w:tr>
      <w:tr w:rsidR="0029776D" w:rsidRPr="0029776D" w14:paraId="2DE2F6E3" w14:textId="77777777" w:rsidTr="0029776D">
        <w:trPr>
          <w:trHeight w:val="29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7436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4.7 Lire et comprendre le bilan et le compte de résultats (comptabilité en partie double)</w:t>
            </w:r>
          </w:p>
        </w:tc>
      </w:tr>
      <w:tr w:rsidR="0029776D" w:rsidRPr="0029776D" w14:paraId="0F0A035A" w14:textId="77777777" w:rsidTr="008F0991">
        <w:trPr>
          <w:trHeight w:val="32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2FF0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4.8 Analyser les frais: calculer un prix de revient</w:t>
            </w:r>
          </w:p>
        </w:tc>
      </w:tr>
      <w:tr w:rsidR="0029776D" w:rsidRPr="0029776D" w14:paraId="4526878A" w14:textId="77777777" w:rsidTr="0029776D">
        <w:trPr>
          <w:trHeight w:val="29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3C3C" w14:textId="77777777" w:rsidR="0029776D" w:rsidRPr="0029776D" w:rsidRDefault="0029776D" w:rsidP="0029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9776D">
              <w:rPr>
                <w:rFonts w:ascii="Calibri" w:eastAsia="Times New Roman" w:hAnsi="Calibri" w:cs="Calibri"/>
                <w:color w:val="000000"/>
                <w:lang w:eastAsia="fr-BE"/>
              </w:rPr>
              <w:t>4.9 Comprendre son plan  financier</w:t>
            </w:r>
          </w:p>
        </w:tc>
      </w:tr>
    </w:tbl>
    <w:p w14:paraId="39A38DCE" w14:textId="77777777" w:rsidR="00903905" w:rsidRDefault="00754D12"/>
    <w:sectPr w:rsidR="00903905" w:rsidSect="002977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05CAE" w14:textId="77777777" w:rsidR="00615FE1" w:rsidRDefault="00615FE1" w:rsidP="0029776D">
      <w:pPr>
        <w:spacing w:after="0" w:line="240" w:lineRule="auto"/>
      </w:pPr>
      <w:r>
        <w:separator/>
      </w:r>
    </w:p>
  </w:endnote>
  <w:endnote w:type="continuationSeparator" w:id="0">
    <w:p w14:paraId="608B9194" w14:textId="77777777" w:rsidR="00615FE1" w:rsidRDefault="00615FE1" w:rsidP="0029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C7435" w14:textId="31DFF21E" w:rsidR="00E3312D" w:rsidRDefault="008F0991" w:rsidP="00E3312D">
    <w:pPr>
      <w:pStyle w:val="Pieddepage"/>
      <w:tabs>
        <w:tab w:val="clear" w:pos="4536"/>
        <w:tab w:val="clear" w:pos="9072"/>
        <w:tab w:val="right" w:pos="13750"/>
      </w:tabs>
      <w:jc w:val="center"/>
      <w:rPr>
        <w:sz w:val="18"/>
        <w:szCs w:val="18"/>
      </w:rPr>
    </w:pPr>
    <w:r w:rsidRPr="002B1491">
      <w:rPr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67C3289" wp14:editId="0D7B3AB3">
          <wp:simplePos x="0" y="0"/>
          <wp:positionH relativeFrom="margin">
            <wp:align>left</wp:align>
          </wp:positionH>
          <wp:positionV relativeFrom="paragraph">
            <wp:posOffset>-50165</wp:posOffset>
          </wp:positionV>
          <wp:extent cx="723900" cy="424815"/>
          <wp:effectExtent l="0" t="0" r="0" b="0"/>
          <wp:wrapSquare wrapText="bothSides"/>
          <wp:docPr id="3" name="Image 3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lan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1491">
      <w:rPr>
        <w:sz w:val="18"/>
        <w:szCs w:val="18"/>
      </w:rPr>
      <w:t xml:space="preserve">Sciences économiques et sociales </w:t>
    </w:r>
    <w:r>
      <w:rPr>
        <w:sz w:val="18"/>
        <w:szCs w:val="18"/>
      </w:rPr>
      <w:t>–</w:t>
    </w:r>
    <w:r w:rsidRPr="002B1491">
      <w:rPr>
        <w:sz w:val="18"/>
        <w:szCs w:val="18"/>
      </w:rPr>
      <w:t xml:space="preserve"> </w:t>
    </w:r>
    <w:r>
      <w:rPr>
        <w:sz w:val="18"/>
        <w:szCs w:val="18"/>
      </w:rPr>
      <w:t>7</w:t>
    </w:r>
    <w:r>
      <w:rPr>
        <w:sz w:val="18"/>
        <w:szCs w:val="18"/>
        <w:vertAlign w:val="superscript"/>
      </w:rPr>
      <w:t xml:space="preserve">e </w:t>
    </w:r>
    <w:r>
      <w:rPr>
        <w:sz w:val="18"/>
        <w:szCs w:val="18"/>
      </w:rPr>
      <w:t>GTPE</w:t>
    </w:r>
    <w:r w:rsidR="00E3312D">
      <w:rPr>
        <w:sz w:val="18"/>
        <w:szCs w:val="18"/>
      </w:rPr>
      <w:t xml:space="preserve"> </w:t>
    </w:r>
    <w:r w:rsidR="00E3312D">
      <w:rPr>
        <w:rFonts w:cstheme="minorHAnsi"/>
        <w:sz w:val="18"/>
        <w:szCs w:val="18"/>
      </w:rPr>
      <w:t>|</w:t>
    </w:r>
    <w:r w:rsidR="00E3312D">
      <w:rPr>
        <w:sz w:val="18"/>
        <w:szCs w:val="18"/>
      </w:rPr>
      <w:t xml:space="preserve"> </w:t>
    </w:r>
    <w:r w:rsidR="00E3312D" w:rsidRPr="005128C8">
      <w:rPr>
        <w:b/>
        <w:sz w:val="18"/>
        <w:szCs w:val="18"/>
      </w:rPr>
      <w:t>Janvier 2022</w:t>
    </w:r>
  </w:p>
  <w:p w14:paraId="7EF995FD" w14:textId="77777777" w:rsidR="00E3312D" w:rsidRDefault="00E3312D" w:rsidP="00E3312D">
    <w:pPr>
      <w:pStyle w:val="Pieddepage"/>
      <w:tabs>
        <w:tab w:val="clear" w:pos="4536"/>
        <w:tab w:val="clear" w:pos="9072"/>
        <w:tab w:val="right" w:pos="13750"/>
      </w:tabs>
      <w:jc w:val="center"/>
      <w:rPr>
        <w:sz w:val="18"/>
        <w:szCs w:val="18"/>
      </w:rPr>
    </w:pPr>
  </w:p>
  <w:p w14:paraId="0D382101" w14:textId="555C4B4B" w:rsidR="008F0991" w:rsidRPr="005128C8" w:rsidRDefault="005128C8" w:rsidP="00E3312D">
    <w:pPr>
      <w:pStyle w:val="Pieddepage"/>
      <w:tabs>
        <w:tab w:val="clear" w:pos="4536"/>
        <w:tab w:val="clear" w:pos="9072"/>
        <w:tab w:val="right" w:pos="13750"/>
      </w:tabs>
      <w:jc w:val="center"/>
      <w:rPr>
        <w:sz w:val="18"/>
        <w:szCs w:val="18"/>
      </w:rPr>
    </w:pPr>
    <w:r w:rsidRPr="002B1491">
      <w:rPr>
        <w:sz w:val="18"/>
        <w:szCs w:val="18"/>
        <w:lang w:val="fr-FR"/>
      </w:rPr>
      <w:t xml:space="preserve">Page </w:t>
    </w:r>
    <w:r w:rsidRPr="002B1491">
      <w:rPr>
        <w:b/>
        <w:bCs/>
        <w:sz w:val="18"/>
        <w:szCs w:val="18"/>
      </w:rPr>
      <w:fldChar w:fldCharType="begin"/>
    </w:r>
    <w:r w:rsidRPr="002B1491">
      <w:rPr>
        <w:b/>
        <w:bCs/>
        <w:sz w:val="18"/>
        <w:szCs w:val="18"/>
      </w:rPr>
      <w:instrText>PAGE</w:instrText>
    </w:r>
    <w:r w:rsidRPr="002B1491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 w:rsidRPr="002B1491">
      <w:rPr>
        <w:b/>
        <w:bCs/>
        <w:sz w:val="18"/>
        <w:szCs w:val="18"/>
      </w:rPr>
      <w:fldChar w:fldCharType="end"/>
    </w:r>
    <w:r w:rsidRPr="002B1491">
      <w:rPr>
        <w:sz w:val="18"/>
        <w:szCs w:val="18"/>
        <w:lang w:val="fr-FR"/>
      </w:rPr>
      <w:t xml:space="preserve"> sur </w:t>
    </w:r>
    <w:r w:rsidRPr="002B1491">
      <w:rPr>
        <w:b/>
        <w:bCs/>
        <w:sz w:val="18"/>
        <w:szCs w:val="18"/>
      </w:rPr>
      <w:fldChar w:fldCharType="begin"/>
    </w:r>
    <w:r w:rsidRPr="002B1491">
      <w:rPr>
        <w:b/>
        <w:bCs/>
        <w:sz w:val="18"/>
        <w:szCs w:val="18"/>
      </w:rPr>
      <w:instrText>NUMPAGES</w:instrText>
    </w:r>
    <w:r w:rsidRPr="002B1491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7</w:t>
    </w:r>
    <w:r w:rsidRPr="002B1491">
      <w:rPr>
        <w:b/>
        <w:bCs/>
        <w:sz w:val="18"/>
        <w:szCs w:val="18"/>
      </w:rPr>
      <w:fldChar w:fldCharType="end"/>
    </w:r>
    <w:sdt>
      <w:sdtPr>
        <w:rPr>
          <w:sz w:val="18"/>
          <w:szCs w:val="18"/>
        </w:rPr>
        <w:id w:val="-1770464482"/>
        <w:docPartObj>
          <w:docPartGallery w:val="Page Numbers (Top of Page)"/>
          <w:docPartUnique/>
        </w:docPartObj>
      </w:sdtPr>
      <w:sdtEndPr/>
      <w:sdtContent>
        <w:r>
          <w:rPr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6EEE8A69" wp14:editId="0EE8A128">
              <wp:simplePos x="0" y="0"/>
              <wp:positionH relativeFrom="margin">
                <wp:align>right</wp:align>
              </wp:positionH>
              <wp:positionV relativeFrom="paragraph">
                <wp:posOffset>-297815</wp:posOffset>
              </wp:positionV>
              <wp:extent cx="654050" cy="359410"/>
              <wp:effectExtent l="0" t="0" r="0" b="2540"/>
              <wp:wrapSquare wrapText="bothSides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_les essentiels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4050" cy="359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7EBB" w14:textId="3B07A221" w:rsidR="00754D12" w:rsidRDefault="00754D12" w:rsidP="00754D12">
    <w:pPr>
      <w:pStyle w:val="Pieddepage"/>
      <w:tabs>
        <w:tab w:val="clear" w:pos="4536"/>
        <w:tab w:val="clear" w:pos="9072"/>
        <w:tab w:val="right" w:pos="14004"/>
      </w:tabs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0C62D0D5" wp14:editId="6254AFF9">
          <wp:simplePos x="0" y="0"/>
          <wp:positionH relativeFrom="column">
            <wp:posOffset>8081010</wp:posOffset>
          </wp:positionH>
          <wp:positionV relativeFrom="paragraph">
            <wp:posOffset>6350</wp:posOffset>
          </wp:positionV>
          <wp:extent cx="654050" cy="359410"/>
          <wp:effectExtent l="0" t="0" r="0" b="254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es essentie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1491">
      <w:rPr>
        <w:b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463DEDF" wp14:editId="551EFBE1">
          <wp:simplePos x="0" y="0"/>
          <wp:positionH relativeFrom="column">
            <wp:posOffset>-3175</wp:posOffset>
          </wp:positionH>
          <wp:positionV relativeFrom="paragraph">
            <wp:posOffset>-26507</wp:posOffset>
          </wp:positionV>
          <wp:extent cx="723900" cy="424815"/>
          <wp:effectExtent l="0" t="0" r="0" b="0"/>
          <wp:wrapSquare wrapText="bothSides"/>
          <wp:docPr id="4" name="Image 4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lan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C8" w:rsidRPr="002B1491">
      <w:rPr>
        <w:sz w:val="18"/>
        <w:szCs w:val="18"/>
      </w:rPr>
      <w:t xml:space="preserve">Sciences économiques et sociales </w:t>
    </w:r>
    <w:r w:rsidR="005128C8">
      <w:rPr>
        <w:sz w:val="18"/>
        <w:szCs w:val="18"/>
      </w:rPr>
      <w:t>–</w:t>
    </w:r>
    <w:r w:rsidR="005128C8" w:rsidRPr="002B1491">
      <w:rPr>
        <w:sz w:val="18"/>
        <w:szCs w:val="18"/>
      </w:rPr>
      <w:t xml:space="preserve"> </w:t>
    </w:r>
    <w:r w:rsidR="005128C8">
      <w:rPr>
        <w:sz w:val="18"/>
        <w:szCs w:val="18"/>
      </w:rPr>
      <w:t>7</w:t>
    </w:r>
    <w:r w:rsidR="005128C8">
      <w:rPr>
        <w:sz w:val="18"/>
        <w:szCs w:val="18"/>
        <w:vertAlign w:val="superscript"/>
      </w:rPr>
      <w:t xml:space="preserve">e </w:t>
    </w:r>
    <w:r w:rsidR="005128C8">
      <w:rPr>
        <w:sz w:val="18"/>
        <w:szCs w:val="18"/>
      </w:rPr>
      <w:t>GTPE</w:t>
    </w:r>
    <w:r>
      <w:rPr>
        <w:sz w:val="18"/>
        <w:szCs w:val="18"/>
      </w:rPr>
      <w:t xml:space="preserve"> </w:t>
    </w:r>
    <w:r>
      <w:rPr>
        <w:rFonts w:cstheme="minorHAnsi"/>
        <w:sz w:val="18"/>
        <w:szCs w:val="18"/>
      </w:rPr>
      <w:t>|</w:t>
    </w:r>
    <w:r>
      <w:rPr>
        <w:sz w:val="18"/>
        <w:szCs w:val="18"/>
      </w:rPr>
      <w:t xml:space="preserve"> </w:t>
    </w:r>
    <w:r w:rsidRPr="005128C8">
      <w:rPr>
        <w:b/>
        <w:sz w:val="18"/>
        <w:szCs w:val="18"/>
      </w:rPr>
      <w:t>Janvier 2022</w:t>
    </w:r>
  </w:p>
  <w:p w14:paraId="505E7C6F" w14:textId="77777777" w:rsidR="00754D12" w:rsidRDefault="00754D12" w:rsidP="00754D12">
    <w:pPr>
      <w:pStyle w:val="Pieddepage"/>
      <w:tabs>
        <w:tab w:val="clear" w:pos="4536"/>
        <w:tab w:val="clear" w:pos="9072"/>
        <w:tab w:val="right" w:pos="14004"/>
      </w:tabs>
      <w:jc w:val="center"/>
      <w:rPr>
        <w:sz w:val="18"/>
        <w:szCs w:val="18"/>
        <w:lang w:val="fr-FR"/>
      </w:rPr>
    </w:pPr>
  </w:p>
  <w:p w14:paraId="6C8278DE" w14:textId="16AEF0F4" w:rsidR="005128C8" w:rsidRPr="005128C8" w:rsidRDefault="005128C8" w:rsidP="00754D12">
    <w:pPr>
      <w:pStyle w:val="Pieddepage"/>
      <w:tabs>
        <w:tab w:val="clear" w:pos="4536"/>
        <w:tab w:val="clear" w:pos="9072"/>
        <w:tab w:val="right" w:pos="14004"/>
      </w:tabs>
      <w:jc w:val="center"/>
      <w:rPr>
        <w:sz w:val="18"/>
        <w:szCs w:val="18"/>
      </w:rPr>
    </w:pPr>
    <w:r w:rsidRPr="002B1491">
      <w:rPr>
        <w:sz w:val="18"/>
        <w:szCs w:val="18"/>
        <w:lang w:val="fr-FR"/>
      </w:rPr>
      <w:t xml:space="preserve">Page </w:t>
    </w:r>
    <w:r w:rsidRPr="002B1491">
      <w:rPr>
        <w:b/>
        <w:bCs/>
        <w:sz w:val="18"/>
        <w:szCs w:val="18"/>
      </w:rPr>
      <w:fldChar w:fldCharType="begin"/>
    </w:r>
    <w:r w:rsidRPr="002B1491">
      <w:rPr>
        <w:b/>
        <w:bCs/>
        <w:sz w:val="18"/>
        <w:szCs w:val="18"/>
      </w:rPr>
      <w:instrText>PAGE</w:instrText>
    </w:r>
    <w:r w:rsidRPr="002B1491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 w:rsidRPr="002B1491">
      <w:rPr>
        <w:b/>
        <w:bCs/>
        <w:sz w:val="18"/>
        <w:szCs w:val="18"/>
      </w:rPr>
      <w:fldChar w:fldCharType="end"/>
    </w:r>
    <w:r w:rsidRPr="002B1491">
      <w:rPr>
        <w:sz w:val="18"/>
        <w:szCs w:val="18"/>
        <w:lang w:val="fr-FR"/>
      </w:rPr>
      <w:t xml:space="preserve"> sur </w:t>
    </w:r>
    <w:r w:rsidRPr="002B1491">
      <w:rPr>
        <w:b/>
        <w:bCs/>
        <w:sz w:val="18"/>
        <w:szCs w:val="18"/>
      </w:rPr>
      <w:fldChar w:fldCharType="begin"/>
    </w:r>
    <w:r w:rsidRPr="002B1491">
      <w:rPr>
        <w:b/>
        <w:bCs/>
        <w:sz w:val="18"/>
        <w:szCs w:val="18"/>
      </w:rPr>
      <w:instrText>NUMPAGES</w:instrText>
    </w:r>
    <w:r w:rsidRPr="002B1491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7</w:t>
    </w:r>
    <w:r w:rsidRPr="002B1491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732DB" w14:textId="77777777" w:rsidR="00615FE1" w:rsidRDefault="00615FE1" w:rsidP="0029776D">
      <w:pPr>
        <w:spacing w:after="0" w:line="240" w:lineRule="auto"/>
      </w:pPr>
      <w:r>
        <w:separator/>
      </w:r>
    </w:p>
  </w:footnote>
  <w:footnote w:type="continuationSeparator" w:id="0">
    <w:p w14:paraId="60D17196" w14:textId="77777777" w:rsidR="00615FE1" w:rsidRDefault="00615FE1" w:rsidP="0029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C4B80" w14:textId="5AF91145" w:rsidR="0029776D" w:rsidRPr="0029776D" w:rsidRDefault="0029776D" w:rsidP="0029776D">
    <w:pPr>
      <w:pStyle w:val="En-tte"/>
      <w:jc w:val="center"/>
      <w:rPr>
        <w:sz w:val="24"/>
        <w:szCs w:val="24"/>
      </w:rPr>
    </w:pPr>
    <w:r w:rsidRPr="0029776D">
      <w:rPr>
        <w:sz w:val="24"/>
        <w:szCs w:val="24"/>
      </w:rPr>
      <w:t>7</w:t>
    </w:r>
    <w:r w:rsidRPr="0029776D">
      <w:rPr>
        <w:sz w:val="24"/>
        <w:szCs w:val="24"/>
        <w:vertAlign w:val="superscript"/>
      </w:rPr>
      <w:t>e</w:t>
    </w:r>
    <w:r w:rsidRPr="0029776D">
      <w:rPr>
        <w:sz w:val="24"/>
        <w:szCs w:val="24"/>
      </w:rPr>
      <w:t xml:space="preserve"> GTPE</w:t>
    </w:r>
  </w:p>
  <w:p w14:paraId="20186B9F" w14:textId="6B60B037" w:rsidR="0029776D" w:rsidRPr="0029776D" w:rsidRDefault="0029776D" w:rsidP="0029776D">
    <w:pPr>
      <w:pStyle w:val="En-tte"/>
      <w:pBdr>
        <w:bottom w:val="thickThinSmallGap" w:sz="24" w:space="1" w:color="auto"/>
      </w:pBdr>
      <w:jc w:val="center"/>
      <w:rPr>
        <w:sz w:val="24"/>
        <w:szCs w:val="24"/>
      </w:rPr>
    </w:pPr>
    <w:r w:rsidRPr="0029776D">
      <w:rPr>
        <w:sz w:val="24"/>
        <w:szCs w:val="24"/>
      </w:rPr>
      <w:t xml:space="preserve">Les compétences prioritaires </w:t>
    </w:r>
    <w:r w:rsidR="004E1BDB">
      <w:rPr>
        <w:sz w:val="24"/>
        <w:szCs w:val="24"/>
      </w:rPr>
      <w:t xml:space="preserve">et non prioritaires </w:t>
    </w:r>
    <w:r w:rsidRPr="0029776D">
      <w:rPr>
        <w:sz w:val="24"/>
        <w:szCs w:val="24"/>
      </w:rPr>
      <w:t>dans le cadre du schéma de passation</w:t>
    </w:r>
    <w:r>
      <w:rPr>
        <w:sz w:val="24"/>
        <w:szCs w:val="24"/>
      </w:rP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8D1D" w14:textId="77777777" w:rsidR="004E1BDB" w:rsidRPr="0029776D" w:rsidRDefault="004E1BDB" w:rsidP="0029776D">
    <w:pPr>
      <w:pStyle w:val="En-tte"/>
      <w:jc w:val="center"/>
      <w:rPr>
        <w:sz w:val="24"/>
        <w:szCs w:val="24"/>
      </w:rPr>
    </w:pPr>
    <w:r w:rsidRPr="0029776D">
      <w:rPr>
        <w:sz w:val="24"/>
        <w:szCs w:val="24"/>
      </w:rPr>
      <w:t>7</w:t>
    </w:r>
    <w:r w:rsidRPr="0029776D">
      <w:rPr>
        <w:sz w:val="24"/>
        <w:szCs w:val="24"/>
        <w:vertAlign w:val="superscript"/>
      </w:rPr>
      <w:t>e</w:t>
    </w:r>
    <w:r w:rsidRPr="0029776D">
      <w:rPr>
        <w:sz w:val="24"/>
        <w:szCs w:val="24"/>
      </w:rPr>
      <w:t xml:space="preserve"> GTPE</w:t>
    </w:r>
  </w:p>
  <w:p w14:paraId="4EFB9C3A" w14:textId="32255B9A" w:rsidR="004E1BDB" w:rsidRPr="0029776D" w:rsidRDefault="004E1BDB" w:rsidP="0029776D">
    <w:pPr>
      <w:pStyle w:val="En-tte"/>
      <w:pBdr>
        <w:bottom w:val="thickThinSmallGap" w:sz="24" w:space="1" w:color="auto"/>
      </w:pBdr>
      <w:jc w:val="center"/>
      <w:rPr>
        <w:sz w:val="24"/>
        <w:szCs w:val="24"/>
      </w:rPr>
    </w:pPr>
    <w:r w:rsidRPr="0029776D">
      <w:rPr>
        <w:sz w:val="24"/>
        <w:szCs w:val="24"/>
      </w:rPr>
      <w:t xml:space="preserve">Les compétences prioritaires </w:t>
    </w:r>
    <w:r>
      <w:rPr>
        <w:sz w:val="24"/>
        <w:szCs w:val="24"/>
      </w:rPr>
      <w:t xml:space="preserve">et non prioritaires </w:t>
    </w:r>
    <w:r w:rsidRPr="0029776D">
      <w:rPr>
        <w:sz w:val="24"/>
        <w:szCs w:val="24"/>
      </w:rPr>
      <w:t>dans le cadre du schéma de passation</w:t>
    </w:r>
    <w:r>
      <w:rPr>
        <w:sz w:val="24"/>
        <w:szCs w:val="24"/>
      </w:rPr>
      <w:t xml:space="preserve">      </w:t>
    </w:r>
    <w:r>
      <w:rPr>
        <w:noProof/>
        <w:sz w:val="24"/>
        <w:szCs w:val="24"/>
      </w:rPr>
      <w:drawing>
        <wp:inline distT="0" distB="0" distL="0" distR="0" wp14:anchorId="5E37FA9C" wp14:editId="24962072">
          <wp:extent cx="1627635" cy="292609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635" cy="292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8683A"/>
    <w:multiLevelType w:val="hybridMultilevel"/>
    <w:tmpl w:val="67ACC0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6D"/>
    <w:rsid w:val="00095EA7"/>
    <w:rsid w:val="000B6060"/>
    <w:rsid w:val="0029776D"/>
    <w:rsid w:val="002A336A"/>
    <w:rsid w:val="00401649"/>
    <w:rsid w:val="004E1BDB"/>
    <w:rsid w:val="005128C8"/>
    <w:rsid w:val="0054041C"/>
    <w:rsid w:val="005659BD"/>
    <w:rsid w:val="00615FE1"/>
    <w:rsid w:val="00754D12"/>
    <w:rsid w:val="007B6229"/>
    <w:rsid w:val="008671EE"/>
    <w:rsid w:val="008F0991"/>
    <w:rsid w:val="00B774BA"/>
    <w:rsid w:val="00D3459D"/>
    <w:rsid w:val="00E3312D"/>
    <w:rsid w:val="00E476CD"/>
    <w:rsid w:val="00F84ABF"/>
    <w:rsid w:val="00F87A7A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C03F7"/>
  <w15:chartTrackingRefBased/>
  <w15:docId w15:val="{CA6E05B0-F779-44B0-A3EE-DDA4D4B4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76D"/>
  </w:style>
  <w:style w:type="paragraph" w:styleId="Pieddepage">
    <w:name w:val="footer"/>
    <w:basedOn w:val="Normal"/>
    <w:link w:val="PieddepageCar"/>
    <w:uiPriority w:val="99"/>
    <w:unhideWhenUsed/>
    <w:rsid w:val="0029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76D"/>
  </w:style>
  <w:style w:type="paragraph" w:styleId="Paragraphedeliste">
    <w:name w:val="List Paragraph"/>
    <w:basedOn w:val="Normal"/>
    <w:uiPriority w:val="34"/>
    <w:qFormat/>
    <w:rsid w:val="004E1BDB"/>
    <w:pPr>
      <w:widowControl w:val="0"/>
      <w:autoSpaceDE w:val="0"/>
      <w:autoSpaceDN w:val="0"/>
      <w:spacing w:before="120" w:after="0" w:line="240" w:lineRule="auto"/>
      <w:ind w:left="336" w:hanging="228"/>
    </w:pPr>
    <w:rPr>
      <w:rFonts w:ascii="Calibri" w:eastAsia="Calibri" w:hAnsi="Calibri" w:cs="Calibri"/>
      <w:lang w:eastAsia="fr-BE" w:bidi="fr-BE"/>
    </w:rPr>
  </w:style>
  <w:style w:type="character" w:styleId="Lienhypertexte">
    <w:name w:val="Hyperlink"/>
    <w:basedOn w:val="Policepardfaut"/>
    <w:rsid w:val="004E1BDB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7B6229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  <w:lang w:eastAsia="fr-BE" w:bidi="fr-BE"/>
    </w:rPr>
  </w:style>
  <w:style w:type="character" w:customStyle="1" w:styleId="CorpsdetexteCar">
    <w:name w:val="Corps de texte Car"/>
    <w:basedOn w:val="Policepardfaut"/>
    <w:link w:val="Corpsdetexte"/>
    <w:uiPriority w:val="1"/>
    <w:rsid w:val="007B6229"/>
    <w:rPr>
      <w:rFonts w:ascii="Calibri" w:eastAsia="Calibri" w:hAnsi="Calibri" w:cs="Calibri"/>
      <w:lang w:eastAsia="fr-BE" w:bidi="fr-B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B622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libri" w:hAnsi="Calibri" w:cs="Times New Roman"/>
      <w:i/>
      <w:iCs/>
      <w:color w:val="4472C4" w:themeColor="accent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B6229"/>
    <w:rPr>
      <w:rFonts w:ascii="Calibri" w:hAnsi="Calibri" w:cs="Times New Roman"/>
      <w:i/>
      <w:iCs/>
      <w:color w:val="4472C4" w:themeColor="accent1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es.fesec.b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nevieve.perrad@segec.b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catherine.libert@segec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anmarie.bauduin@segec.b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1661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Perrad</dc:creator>
  <cp:keywords/>
  <dc:description/>
  <cp:lastModifiedBy>Dessambre Charline</cp:lastModifiedBy>
  <cp:revision>11</cp:revision>
  <dcterms:created xsi:type="dcterms:W3CDTF">2021-12-16T13:37:00Z</dcterms:created>
  <dcterms:modified xsi:type="dcterms:W3CDTF">2021-12-22T14:19:00Z</dcterms:modified>
</cp:coreProperties>
</file>